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011F4F9" w14:textId="77777777" w:rsidTr="197BAE22">
        <w:tc>
          <w:tcPr>
            <w:tcW w:w="2438" w:type="dxa"/>
          </w:tcPr>
          <w:p w14:paraId="7F4771FF"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11F1B0A2" w14:textId="3C342EE4" w:rsidR="00F445B1" w:rsidRPr="00F95BC9" w:rsidRDefault="00632588" w:rsidP="000A47AE">
            <w:pPr>
              <w:rPr>
                <w:rStyle w:val="Firstpagetablebold"/>
              </w:rPr>
            </w:pPr>
            <w:r>
              <w:rPr>
                <w:rStyle w:val="Firstpagetablebold"/>
              </w:rPr>
              <w:t>Cabinet</w:t>
            </w:r>
          </w:p>
        </w:tc>
      </w:tr>
      <w:tr w:rsidR="00CE544A" w:rsidRPr="00975B07" w14:paraId="67FF0822" w14:textId="77777777" w:rsidTr="197BAE22">
        <w:tc>
          <w:tcPr>
            <w:tcW w:w="2438" w:type="dxa"/>
          </w:tcPr>
          <w:p w14:paraId="4BEF97D3"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3D28F9AC" w14:textId="50E354AC" w:rsidR="00F445B1" w:rsidRPr="001356F1" w:rsidRDefault="00A17168" w:rsidP="000A47AE">
            <w:pPr>
              <w:rPr>
                <w:b/>
              </w:rPr>
            </w:pPr>
            <w:r w:rsidRPr="00A17168">
              <w:rPr>
                <w:rStyle w:val="Firstpagetablebold"/>
              </w:rPr>
              <w:t>1</w:t>
            </w:r>
            <w:r w:rsidR="00D6430E">
              <w:rPr>
                <w:rStyle w:val="Firstpagetablebold"/>
              </w:rPr>
              <w:t xml:space="preserve">7 September </w:t>
            </w:r>
            <w:r w:rsidR="00534A13" w:rsidRPr="00A17168">
              <w:rPr>
                <w:rStyle w:val="Firstpagetablebold"/>
              </w:rPr>
              <w:t>202</w:t>
            </w:r>
            <w:r w:rsidR="001D22E9">
              <w:rPr>
                <w:rStyle w:val="Firstpagetablebold"/>
              </w:rPr>
              <w:t>5</w:t>
            </w:r>
            <w:r w:rsidR="005C69A8">
              <w:rPr>
                <w:rStyle w:val="Firstpagetablebold"/>
              </w:rPr>
              <w:t xml:space="preserve"> </w:t>
            </w:r>
          </w:p>
        </w:tc>
      </w:tr>
      <w:tr w:rsidR="00CE544A" w:rsidRPr="00975B07" w14:paraId="36750B84" w14:textId="77777777" w:rsidTr="197BAE22">
        <w:tc>
          <w:tcPr>
            <w:tcW w:w="2438" w:type="dxa"/>
          </w:tcPr>
          <w:p w14:paraId="3DE7F996"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59C35A88" w14:textId="44807574" w:rsidR="00177372" w:rsidRPr="001356F1" w:rsidRDefault="008015E8" w:rsidP="004159F8">
            <w:pPr>
              <w:spacing w:after="0"/>
              <w:rPr>
                <w:rStyle w:val="Firstpagetablebold"/>
              </w:rPr>
            </w:pPr>
            <w:r w:rsidRPr="008015E8">
              <w:rPr>
                <w:rStyle w:val="Firstpagetablebold"/>
              </w:rPr>
              <w:t>Group Finance Director (Section 151 Officer)</w:t>
            </w:r>
          </w:p>
        </w:tc>
      </w:tr>
      <w:tr w:rsidR="00CE544A" w:rsidRPr="00975B07" w14:paraId="732AA7BF" w14:textId="77777777" w:rsidTr="197BAE22">
        <w:tc>
          <w:tcPr>
            <w:tcW w:w="2438" w:type="dxa"/>
          </w:tcPr>
          <w:p w14:paraId="4347A750"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2EEA722B" w14:textId="731F101D" w:rsidR="00F445B1" w:rsidRPr="001356F1" w:rsidRDefault="00D6430E" w:rsidP="006633F1">
            <w:pPr>
              <w:rPr>
                <w:rStyle w:val="Firstpagetablebold"/>
              </w:rPr>
            </w:pPr>
            <w:r>
              <w:rPr>
                <w:rStyle w:val="Firstpagetablebold"/>
              </w:rPr>
              <w:t xml:space="preserve">Financial Outturn </w:t>
            </w:r>
            <w:r w:rsidR="004E27A6">
              <w:rPr>
                <w:rStyle w:val="Firstpagetablebold"/>
              </w:rPr>
              <w:t xml:space="preserve">Report </w:t>
            </w:r>
            <w:r>
              <w:rPr>
                <w:rStyle w:val="Firstpagetablebold"/>
              </w:rPr>
              <w:t>2024/25</w:t>
            </w:r>
          </w:p>
        </w:tc>
      </w:tr>
    </w:tbl>
    <w:p w14:paraId="46723935" w14:textId="5AB00EC5" w:rsidR="004F20EF" w:rsidRDefault="00D75C50" w:rsidP="004A6D2F">
      <w:r w:rsidRPr="00D75C50">
        <w:rPr>
          <w:highlight w:val="yellow"/>
        </w:rPr>
        <w:t xml:space="preserve"> </w:t>
      </w:r>
    </w:p>
    <w:tbl>
      <w:tblPr>
        <w:tblW w:w="938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26"/>
        <w:gridCol w:w="6054"/>
      </w:tblGrid>
      <w:tr w:rsidR="00D5547E" w14:paraId="307E81AC" w14:textId="77777777" w:rsidTr="008015E8">
        <w:trPr>
          <w:trHeight w:val="300"/>
        </w:trPr>
        <w:tc>
          <w:tcPr>
            <w:tcW w:w="9380" w:type="dxa"/>
            <w:gridSpan w:val="2"/>
            <w:tcBorders>
              <w:bottom w:val="single" w:sz="4" w:space="0" w:color="auto"/>
            </w:tcBorders>
            <w:hideMark/>
          </w:tcPr>
          <w:p w14:paraId="2709729C" w14:textId="77777777" w:rsidR="00D5547E" w:rsidRDefault="00745BF0" w:rsidP="746D2C75">
            <w:pPr>
              <w:spacing w:before="60" w:after="60"/>
              <w:jc w:val="center"/>
              <w:rPr>
                <w:rStyle w:val="Firstpagetablebold"/>
              </w:rPr>
            </w:pPr>
            <w:r>
              <w:rPr>
                <w:rStyle w:val="Firstpagetablebold"/>
              </w:rPr>
              <w:t>Summary and r</w:t>
            </w:r>
            <w:r w:rsidR="00D5547E">
              <w:rPr>
                <w:rStyle w:val="Firstpagetablebold"/>
              </w:rPr>
              <w:t>ecommendations</w:t>
            </w:r>
          </w:p>
        </w:tc>
      </w:tr>
      <w:tr w:rsidR="00D5547E" w14:paraId="77881BDF" w14:textId="77777777" w:rsidTr="008015E8">
        <w:trPr>
          <w:trHeight w:val="300"/>
        </w:trPr>
        <w:tc>
          <w:tcPr>
            <w:tcW w:w="3326" w:type="dxa"/>
            <w:tcBorders>
              <w:top w:val="single" w:sz="4" w:space="0" w:color="auto"/>
              <w:left w:val="single" w:sz="4" w:space="0" w:color="auto"/>
              <w:bottom w:val="nil"/>
              <w:right w:val="nil"/>
            </w:tcBorders>
            <w:hideMark/>
          </w:tcPr>
          <w:p w14:paraId="00416367" w14:textId="205221CA" w:rsidR="00D5547E" w:rsidRDefault="00303562" w:rsidP="746D2C75">
            <w:pPr>
              <w:spacing w:before="60" w:after="60"/>
              <w:rPr>
                <w:rStyle w:val="Firstpagetablebold"/>
              </w:rPr>
            </w:pPr>
            <w:r>
              <w:rPr>
                <w:rStyle w:val="Firstpagetablebold"/>
              </w:rPr>
              <w:t>Decision being taken:</w:t>
            </w:r>
          </w:p>
        </w:tc>
        <w:tc>
          <w:tcPr>
            <w:tcW w:w="6054" w:type="dxa"/>
            <w:tcBorders>
              <w:top w:val="single" w:sz="4" w:space="0" w:color="auto"/>
              <w:left w:val="nil"/>
              <w:bottom w:val="nil"/>
              <w:right w:val="single" w:sz="4" w:space="0" w:color="auto"/>
            </w:tcBorders>
            <w:hideMark/>
          </w:tcPr>
          <w:p w14:paraId="678F1792" w14:textId="7E0AB877" w:rsidR="00D5547E" w:rsidRPr="001356F1" w:rsidRDefault="00A91B9B" w:rsidP="746D2C75">
            <w:pPr>
              <w:spacing w:before="60" w:after="60"/>
            </w:pPr>
            <w:r>
              <w:t xml:space="preserve">To </w:t>
            </w:r>
            <w:r w:rsidR="00303562">
              <w:t xml:space="preserve">note the </w:t>
            </w:r>
            <w:r>
              <w:t xml:space="preserve">update </w:t>
            </w:r>
            <w:r w:rsidR="00303562">
              <w:t xml:space="preserve">to </w:t>
            </w:r>
            <w:r w:rsidR="00BB420C">
              <w:t xml:space="preserve">the </w:t>
            </w:r>
            <w:r w:rsidR="00CF795B">
              <w:t>Cabinet</w:t>
            </w:r>
            <w:r>
              <w:t xml:space="preserve"> </w:t>
            </w:r>
            <w:r w:rsidRPr="005B020D">
              <w:rPr>
                <w:color w:val="auto"/>
              </w:rPr>
              <w:t xml:space="preserve">on </w:t>
            </w:r>
            <w:r w:rsidR="00D6430E">
              <w:rPr>
                <w:color w:val="auto"/>
              </w:rPr>
              <w:t>the financial outturn for the year ending 31 March 2025</w:t>
            </w:r>
          </w:p>
        </w:tc>
      </w:tr>
      <w:tr w:rsidR="00D5547E" w14:paraId="4E0EABF7" w14:textId="77777777" w:rsidTr="008015E8">
        <w:trPr>
          <w:trHeight w:val="300"/>
        </w:trPr>
        <w:tc>
          <w:tcPr>
            <w:tcW w:w="3326" w:type="dxa"/>
            <w:tcBorders>
              <w:top w:val="nil"/>
              <w:left w:val="single" w:sz="4" w:space="0" w:color="auto"/>
              <w:bottom w:val="nil"/>
              <w:right w:val="nil"/>
            </w:tcBorders>
            <w:hideMark/>
          </w:tcPr>
          <w:p w14:paraId="3BA22E73" w14:textId="77777777" w:rsidR="00D5547E" w:rsidRDefault="00D5547E" w:rsidP="746D2C75">
            <w:pPr>
              <w:spacing w:before="60" w:after="60"/>
              <w:rPr>
                <w:rStyle w:val="Firstpagetablebold"/>
              </w:rPr>
            </w:pPr>
            <w:r>
              <w:rPr>
                <w:rStyle w:val="Firstpagetablebold"/>
              </w:rPr>
              <w:t>Key decision:</w:t>
            </w:r>
          </w:p>
        </w:tc>
        <w:tc>
          <w:tcPr>
            <w:tcW w:w="6054" w:type="dxa"/>
            <w:tcBorders>
              <w:top w:val="nil"/>
              <w:left w:val="nil"/>
              <w:bottom w:val="nil"/>
              <w:right w:val="single" w:sz="4" w:space="0" w:color="auto"/>
            </w:tcBorders>
            <w:hideMark/>
          </w:tcPr>
          <w:p w14:paraId="57DCD61B" w14:textId="77777777" w:rsidR="00D5547E" w:rsidRPr="001356F1" w:rsidRDefault="00177372" w:rsidP="746D2C75">
            <w:pPr>
              <w:spacing w:before="60" w:after="60"/>
            </w:pPr>
            <w:r>
              <w:t>No</w:t>
            </w:r>
          </w:p>
        </w:tc>
      </w:tr>
      <w:tr w:rsidR="00D5547E" w14:paraId="6438E459" w14:textId="77777777" w:rsidTr="008015E8">
        <w:trPr>
          <w:trHeight w:val="300"/>
        </w:trPr>
        <w:tc>
          <w:tcPr>
            <w:tcW w:w="3326" w:type="dxa"/>
            <w:tcBorders>
              <w:top w:val="nil"/>
              <w:left w:val="single" w:sz="4" w:space="0" w:color="auto"/>
              <w:bottom w:val="nil"/>
              <w:right w:val="nil"/>
            </w:tcBorders>
            <w:hideMark/>
          </w:tcPr>
          <w:p w14:paraId="23E7FAA0" w14:textId="7F9C33FB" w:rsidR="00D5547E" w:rsidRDefault="00303562" w:rsidP="746D2C75">
            <w:pPr>
              <w:spacing w:before="60" w:after="60"/>
              <w:rPr>
                <w:rStyle w:val="Firstpagetablebold"/>
              </w:rPr>
            </w:pPr>
            <w:r>
              <w:rPr>
                <w:rStyle w:val="Firstpagetablebold"/>
              </w:rPr>
              <w:t>Cabinet Member</w:t>
            </w:r>
            <w:r w:rsidR="00D5547E">
              <w:rPr>
                <w:rStyle w:val="Firstpagetablebold"/>
              </w:rPr>
              <w:t>:</w:t>
            </w:r>
          </w:p>
        </w:tc>
        <w:tc>
          <w:tcPr>
            <w:tcW w:w="6054" w:type="dxa"/>
            <w:tcBorders>
              <w:top w:val="nil"/>
              <w:left w:val="nil"/>
              <w:bottom w:val="nil"/>
              <w:right w:val="single" w:sz="4" w:space="0" w:color="auto"/>
            </w:tcBorders>
            <w:hideMark/>
          </w:tcPr>
          <w:p w14:paraId="15868214" w14:textId="247A8852" w:rsidR="00D5547E" w:rsidRPr="001356F1" w:rsidRDefault="5C275BC1" w:rsidP="746D2C75">
            <w:pPr>
              <w:spacing w:before="60" w:after="60"/>
            </w:pPr>
            <w:r>
              <w:t>Cabinet Member for Finance and Assets</w:t>
            </w:r>
          </w:p>
        </w:tc>
      </w:tr>
      <w:tr w:rsidR="0080749A" w14:paraId="5B7534AD" w14:textId="77777777" w:rsidTr="008015E8">
        <w:trPr>
          <w:trHeight w:val="300"/>
        </w:trPr>
        <w:tc>
          <w:tcPr>
            <w:tcW w:w="3326" w:type="dxa"/>
            <w:tcBorders>
              <w:top w:val="nil"/>
              <w:left w:val="single" w:sz="4" w:space="0" w:color="auto"/>
              <w:bottom w:val="nil"/>
              <w:right w:val="nil"/>
            </w:tcBorders>
          </w:tcPr>
          <w:p w14:paraId="759D152D" w14:textId="77777777" w:rsidR="0080749A" w:rsidRDefault="0080749A" w:rsidP="746D2C75">
            <w:pPr>
              <w:spacing w:before="60" w:after="60"/>
              <w:rPr>
                <w:rStyle w:val="Firstpagetablebold"/>
              </w:rPr>
            </w:pPr>
            <w:r>
              <w:rPr>
                <w:rStyle w:val="Firstpagetablebold"/>
              </w:rPr>
              <w:t>Corporate Priority:</w:t>
            </w:r>
          </w:p>
        </w:tc>
        <w:tc>
          <w:tcPr>
            <w:tcW w:w="6054" w:type="dxa"/>
            <w:tcBorders>
              <w:top w:val="nil"/>
              <w:left w:val="nil"/>
              <w:bottom w:val="nil"/>
              <w:right w:val="single" w:sz="4" w:space="0" w:color="auto"/>
            </w:tcBorders>
          </w:tcPr>
          <w:p w14:paraId="2642604D" w14:textId="3AA8EAFC" w:rsidR="0080749A" w:rsidRPr="001356F1" w:rsidRDefault="737F0D4B" w:rsidP="746D2C75">
            <w:pPr>
              <w:spacing w:before="60" w:after="60"/>
            </w:pPr>
            <w:r>
              <w:t>All areas</w:t>
            </w:r>
          </w:p>
        </w:tc>
      </w:tr>
      <w:tr w:rsidR="00D5547E" w14:paraId="46AAC5B4" w14:textId="77777777" w:rsidTr="008015E8">
        <w:trPr>
          <w:trHeight w:val="300"/>
        </w:trPr>
        <w:tc>
          <w:tcPr>
            <w:tcW w:w="3326" w:type="dxa"/>
            <w:tcBorders>
              <w:top w:val="nil"/>
              <w:left w:val="single" w:sz="4" w:space="0" w:color="auto"/>
              <w:bottom w:val="single" w:sz="4" w:space="0" w:color="auto"/>
              <w:right w:val="nil"/>
            </w:tcBorders>
            <w:hideMark/>
          </w:tcPr>
          <w:p w14:paraId="3A72AE5C" w14:textId="77777777" w:rsidR="00D5547E" w:rsidRDefault="00D5547E" w:rsidP="746D2C75">
            <w:pPr>
              <w:spacing w:before="60" w:after="60"/>
              <w:rPr>
                <w:rStyle w:val="Firstpagetablebold"/>
              </w:rPr>
            </w:pPr>
            <w:r>
              <w:rPr>
                <w:rStyle w:val="Firstpagetablebold"/>
              </w:rPr>
              <w:t>Policy Framework:</w:t>
            </w:r>
          </w:p>
        </w:tc>
        <w:tc>
          <w:tcPr>
            <w:tcW w:w="6054" w:type="dxa"/>
            <w:tcBorders>
              <w:top w:val="nil"/>
              <w:left w:val="nil"/>
              <w:bottom w:val="single" w:sz="4" w:space="0" w:color="auto"/>
              <w:right w:val="single" w:sz="4" w:space="0" w:color="auto"/>
            </w:tcBorders>
            <w:hideMark/>
          </w:tcPr>
          <w:p w14:paraId="6D2BADA4" w14:textId="46EEC6EF" w:rsidR="00D5547E" w:rsidRPr="001356F1" w:rsidRDefault="00044A94" w:rsidP="746D2C75">
            <w:pPr>
              <w:spacing w:before="60" w:after="60"/>
            </w:pPr>
            <w:r>
              <w:t xml:space="preserve">Corporate </w:t>
            </w:r>
            <w:r w:rsidR="001112A9">
              <w:t>Strategy 2024-2028</w:t>
            </w:r>
          </w:p>
          <w:p w14:paraId="5C97CD45" w14:textId="19CFBA01" w:rsidR="00D5547E" w:rsidRPr="001356F1" w:rsidRDefault="00D5547E" w:rsidP="746D2C75">
            <w:pPr>
              <w:spacing w:before="60" w:after="60"/>
            </w:pPr>
          </w:p>
        </w:tc>
      </w:tr>
    </w:tbl>
    <w:p w14:paraId="6E282F35" w14:textId="77777777" w:rsidR="00EC334D" w:rsidRDefault="00EC334D"/>
    <w:tbl>
      <w:tblPr>
        <w:tblW w:w="938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80"/>
      </w:tblGrid>
      <w:tr w:rsidR="005F7F7E" w:rsidRPr="00975B07" w14:paraId="6D67B177" w14:textId="77777777" w:rsidTr="008015E8">
        <w:trPr>
          <w:trHeight w:val="300"/>
        </w:trPr>
        <w:tc>
          <w:tcPr>
            <w:tcW w:w="9380" w:type="dxa"/>
            <w:tcBorders>
              <w:bottom w:val="single" w:sz="8" w:space="0" w:color="000000" w:themeColor="text1"/>
            </w:tcBorders>
          </w:tcPr>
          <w:p w14:paraId="206F6AFA" w14:textId="77777777" w:rsidR="005F7F7E" w:rsidRPr="00975B07" w:rsidRDefault="005F7F7E" w:rsidP="746D2C75">
            <w:pPr>
              <w:spacing w:before="60" w:after="60"/>
            </w:pPr>
            <w:r>
              <w:rPr>
                <w:rStyle w:val="Firstpagetablebold"/>
              </w:rPr>
              <w:t>Recommendation(s):</w:t>
            </w:r>
            <w:r w:rsidR="007E64F0">
              <w:rPr>
                <w:rStyle w:val="Firstpagetablebold"/>
              </w:rPr>
              <w:t xml:space="preserve"> </w:t>
            </w:r>
            <w:r>
              <w:rPr>
                <w:rStyle w:val="Firstpagetablebold"/>
              </w:rPr>
              <w:t xml:space="preserve">That the </w:t>
            </w:r>
            <w:r w:rsidR="00CF795B">
              <w:rPr>
                <w:rStyle w:val="Firstpagetablebold"/>
              </w:rPr>
              <w:t>Cabinet</w:t>
            </w:r>
            <w:r w:rsidR="00A85B0E">
              <w:rPr>
                <w:rStyle w:val="Firstpagetablebold"/>
              </w:rPr>
              <w:t xml:space="preserve"> resolves to</w:t>
            </w:r>
            <w:r>
              <w:rPr>
                <w:rStyle w:val="Firstpagetablebold"/>
              </w:rPr>
              <w:t>:</w:t>
            </w:r>
          </w:p>
        </w:tc>
      </w:tr>
      <w:tr w:rsidR="0030208D" w:rsidRPr="00975B07" w14:paraId="15830C22" w14:textId="77777777" w:rsidTr="008015E8">
        <w:trPr>
          <w:trHeight w:val="300"/>
        </w:trPr>
        <w:tc>
          <w:tcPr>
            <w:tcW w:w="9380" w:type="dxa"/>
            <w:tcBorders>
              <w:top w:val="single" w:sz="8" w:space="0" w:color="000000" w:themeColor="text1"/>
              <w:left w:val="single" w:sz="12" w:space="0" w:color="000000" w:themeColor="text1"/>
            </w:tcBorders>
          </w:tcPr>
          <w:p w14:paraId="1FC588B4" w14:textId="53B81240" w:rsidR="001112A9" w:rsidRPr="00A059DD" w:rsidRDefault="00A85B0E" w:rsidP="00A059DD">
            <w:pPr>
              <w:pStyle w:val="ListParagraph"/>
              <w:numPr>
                <w:ilvl w:val="0"/>
                <w:numId w:val="9"/>
              </w:numPr>
              <w:spacing w:before="60" w:after="60"/>
              <w:ind w:left="339"/>
              <w:rPr>
                <w:rStyle w:val="Firstpagetablebold"/>
                <w:b w:val="0"/>
              </w:rPr>
            </w:pPr>
            <w:r w:rsidRPr="001112A9">
              <w:rPr>
                <w:rStyle w:val="Firstpagetablebold"/>
                <w:bCs/>
              </w:rPr>
              <w:t xml:space="preserve">Note </w:t>
            </w:r>
            <w:r w:rsidRPr="00222A4F">
              <w:rPr>
                <w:rStyle w:val="Firstpagetablebold"/>
                <w:b w:val="0"/>
              </w:rPr>
              <w:t xml:space="preserve">the </w:t>
            </w:r>
            <w:r w:rsidR="003F50F9" w:rsidRPr="00222A4F">
              <w:rPr>
                <w:rStyle w:val="Firstpagetablebold"/>
                <w:b w:val="0"/>
              </w:rPr>
              <w:t xml:space="preserve">financial </w:t>
            </w:r>
            <w:r w:rsidRPr="00222A4F">
              <w:rPr>
                <w:rStyle w:val="Firstpagetablebold"/>
                <w:b w:val="0"/>
              </w:rPr>
              <w:t>outturn</w:t>
            </w:r>
            <w:r w:rsidR="00CF795B" w:rsidRPr="00222A4F">
              <w:rPr>
                <w:rStyle w:val="Firstpagetablebold"/>
                <w:b w:val="0"/>
              </w:rPr>
              <w:t xml:space="preserve"> </w:t>
            </w:r>
            <w:r w:rsidR="00D6430E">
              <w:rPr>
                <w:rStyle w:val="Firstpagetablebold"/>
                <w:b w:val="0"/>
              </w:rPr>
              <w:t>and performance of the Council for the year 202</w:t>
            </w:r>
            <w:r w:rsidR="001112A9">
              <w:rPr>
                <w:rStyle w:val="Firstpagetablebold"/>
                <w:b w:val="0"/>
              </w:rPr>
              <w:t>4</w:t>
            </w:r>
            <w:r w:rsidR="00D6430E">
              <w:rPr>
                <w:rStyle w:val="Firstpagetablebold"/>
                <w:b w:val="0"/>
              </w:rPr>
              <w:t>/</w:t>
            </w:r>
            <w:r w:rsidR="00D6430E" w:rsidRPr="001112A9">
              <w:rPr>
                <w:rStyle w:val="Firstpagetablebold"/>
                <w:b w:val="0"/>
              </w:rPr>
              <w:t>2</w:t>
            </w:r>
            <w:r w:rsidR="001112A9" w:rsidRPr="001112A9">
              <w:rPr>
                <w:rStyle w:val="Firstpagetablebold"/>
                <w:b w:val="0"/>
              </w:rPr>
              <w:t>5 and the recommended transfer of £</w:t>
            </w:r>
            <w:r w:rsidR="008172FC">
              <w:rPr>
                <w:rStyle w:val="Firstpagetablebold"/>
                <w:b w:val="0"/>
              </w:rPr>
              <w:t>1</w:t>
            </w:r>
            <w:r w:rsidR="00736034" w:rsidRPr="008172FC">
              <w:rPr>
                <w:rStyle w:val="Firstpagetablebold"/>
                <w:b w:val="0"/>
              </w:rPr>
              <w:t>.</w:t>
            </w:r>
            <w:r w:rsidR="008172FC" w:rsidRPr="008172FC">
              <w:rPr>
                <w:rStyle w:val="Firstpagetablebold"/>
                <w:b w:val="0"/>
              </w:rPr>
              <w:t>549</w:t>
            </w:r>
            <w:r w:rsidR="001112A9" w:rsidRPr="001112A9">
              <w:rPr>
                <w:rStyle w:val="Firstpagetablebold"/>
                <w:b w:val="0"/>
              </w:rPr>
              <w:t xml:space="preserve"> million from the risk reserve</w:t>
            </w:r>
            <w:r w:rsidR="001112A9">
              <w:rPr>
                <w:rStyle w:val="Firstpagetablebold"/>
                <w:b w:val="0"/>
              </w:rPr>
              <w:t>; and</w:t>
            </w:r>
          </w:p>
          <w:p w14:paraId="5DA81D90" w14:textId="3A477C79" w:rsidR="001112A9" w:rsidRPr="001356F1" w:rsidRDefault="001112A9" w:rsidP="007A7DA6">
            <w:pPr>
              <w:pStyle w:val="ListParagraph"/>
              <w:numPr>
                <w:ilvl w:val="0"/>
                <w:numId w:val="9"/>
              </w:numPr>
              <w:spacing w:before="60" w:after="60"/>
              <w:ind w:left="339"/>
            </w:pPr>
            <w:r w:rsidRPr="00A059DD">
              <w:rPr>
                <w:b/>
                <w:bCs/>
              </w:rPr>
              <w:t>Agree</w:t>
            </w:r>
            <w:r>
              <w:t xml:space="preserve"> the carry forward requests in respect of the General Fund of £</w:t>
            </w:r>
            <w:r w:rsidRPr="00736034">
              <w:t>0.0</w:t>
            </w:r>
            <w:r w:rsidR="00736034" w:rsidRPr="00736034">
              <w:t>83</w:t>
            </w:r>
            <w:r>
              <w:t xml:space="preserve"> million in accordance with paragraph </w:t>
            </w:r>
            <w:r w:rsidR="00511D59">
              <w:t>6</w:t>
            </w:r>
            <w:r>
              <w:t>.</w:t>
            </w:r>
          </w:p>
        </w:tc>
      </w:tr>
    </w:tbl>
    <w:p w14:paraId="123A7E8B" w14:textId="153E23A1" w:rsidR="007A64CE" w:rsidRDefault="007A64CE" w:rsidP="008015E8"/>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188"/>
        <w:gridCol w:w="1701"/>
      </w:tblGrid>
      <w:tr w:rsidR="0047503D" w:rsidRPr="00975B07" w14:paraId="0048E86D" w14:textId="2F14B27A" w:rsidTr="008015E8">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4E83C" w14:textId="2490E1EA" w:rsidR="0047503D" w:rsidRPr="00975B07" w:rsidRDefault="0047503D" w:rsidP="746D2C75">
            <w:pPr>
              <w:spacing w:before="60" w:after="60"/>
              <w:jc w:val="center"/>
            </w:pPr>
            <w:r w:rsidRPr="00745BF0">
              <w:rPr>
                <w:rStyle w:val="Firstpagetablebold"/>
              </w:rPr>
              <w:t>Appendi</w:t>
            </w:r>
            <w:r w:rsidR="006D66A3">
              <w:rPr>
                <w:rStyle w:val="Firstpagetablebold"/>
              </w:rPr>
              <w:t>x No.</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4CFE8" w14:textId="4841862F" w:rsidR="0047503D" w:rsidRPr="008015E8" w:rsidRDefault="006D66A3" w:rsidP="746D2C75">
            <w:pPr>
              <w:spacing w:before="60" w:after="60"/>
              <w:jc w:val="center"/>
              <w:rPr>
                <w:b/>
                <w:bCs/>
              </w:rPr>
            </w:pPr>
            <w:r w:rsidRPr="008015E8">
              <w:rPr>
                <w:b/>
                <w:bCs/>
              </w:rPr>
              <w:t>Appendix Title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FCA70" w14:textId="514EC56E" w:rsidR="0047503D" w:rsidRPr="00745BF0" w:rsidRDefault="00124D88" w:rsidP="746D2C75">
            <w:pPr>
              <w:spacing w:before="60" w:after="60"/>
              <w:jc w:val="center"/>
              <w:rPr>
                <w:rStyle w:val="Firstpagetablebold"/>
              </w:rPr>
            </w:pPr>
            <w:r>
              <w:rPr>
                <w:rStyle w:val="Firstpagetablebold"/>
              </w:rPr>
              <w:t>Exempt from Publication</w:t>
            </w:r>
          </w:p>
        </w:tc>
      </w:tr>
      <w:tr w:rsidR="00C03F57" w:rsidRPr="00975B07" w14:paraId="24F7CD61" w14:textId="3A5D082C" w:rsidTr="008015E8">
        <w:trPr>
          <w:trHeight w:val="300"/>
        </w:trPr>
        <w:tc>
          <w:tcPr>
            <w:tcW w:w="1491" w:type="dxa"/>
            <w:tcBorders>
              <w:top w:val="single" w:sz="4" w:space="0" w:color="auto"/>
              <w:left w:val="single" w:sz="4" w:space="0" w:color="auto"/>
              <w:bottom w:val="single" w:sz="4" w:space="0" w:color="auto"/>
              <w:right w:val="single" w:sz="4" w:space="0" w:color="auto"/>
            </w:tcBorders>
          </w:tcPr>
          <w:p w14:paraId="52D7B0EC" w14:textId="0D9B0106" w:rsidR="00857F02" w:rsidRDefault="00857F02" w:rsidP="00310837">
            <w:pPr>
              <w:spacing w:before="60" w:after="60"/>
            </w:pPr>
            <w:r>
              <w:t xml:space="preserve">Appendix </w:t>
            </w:r>
            <w:r w:rsidR="00A059DD">
              <w:t>1</w:t>
            </w:r>
          </w:p>
          <w:p w14:paraId="37AB246D" w14:textId="503208BB" w:rsidR="00857F02" w:rsidRDefault="00857F02" w:rsidP="00310837">
            <w:pPr>
              <w:spacing w:before="60" w:after="0"/>
            </w:pPr>
            <w:r>
              <w:t xml:space="preserve">Appendix </w:t>
            </w:r>
            <w:r w:rsidR="00A059DD">
              <w:t>2</w:t>
            </w:r>
          </w:p>
          <w:p w14:paraId="1B13B0F5" w14:textId="7AC7603C" w:rsidR="00857F02" w:rsidRPr="00975B07" w:rsidRDefault="00857F02" w:rsidP="00310837">
            <w:pPr>
              <w:spacing w:before="60" w:after="60"/>
            </w:pPr>
            <w:r>
              <w:t xml:space="preserve">Appendix </w:t>
            </w:r>
            <w:r w:rsidR="00A059DD">
              <w:t>3</w:t>
            </w:r>
          </w:p>
        </w:tc>
        <w:tc>
          <w:tcPr>
            <w:tcW w:w="6188" w:type="dxa"/>
            <w:tcBorders>
              <w:top w:val="nil"/>
              <w:left w:val="single" w:sz="4" w:space="0" w:color="auto"/>
              <w:bottom w:val="single" w:sz="8" w:space="0" w:color="000000" w:themeColor="text1"/>
              <w:right w:val="single" w:sz="8" w:space="0" w:color="000000" w:themeColor="text1"/>
            </w:tcBorders>
          </w:tcPr>
          <w:p w14:paraId="5D786D36" w14:textId="78CC2D39" w:rsidR="00857F02" w:rsidRPr="009D32A0" w:rsidRDefault="00857F02" w:rsidP="00D6430E">
            <w:pPr>
              <w:spacing w:before="60" w:after="0"/>
            </w:pPr>
            <w:r w:rsidRPr="009D32A0">
              <w:t xml:space="preserve">General Fund </w:t>
            </w:r>
            <w:r>
              <w:t>–</w:t>
            </w:r>
            <w:r w:rsidRPr="009D32A0">
              <w:t xml:space="preserve"> </w:t>
            </w:r>
            <w:r w:rsidR="00D6430E">
              <w:t>March</w:t>
            </w:r>
            <w:r>
              <w:t xml:space="preserve"> 202</w:t>
            </w:r>
            <w:r w:rsidR="00D6430E">
              <w:t>5</w:t>
            </w:r>
            <w:r w:rsidRPr="009D32A0">
              <w:t xml:space="preserve"> Outturn</w:t>
            </w:r>
          </w:p>
          <w:p w14:paraId="70029205" w14:textId="73F24AF2" w:rsidR="00857F02" w:rsidRPr="009D32A0" w:rsidRDefault="00857F02" w:rsidP="00D6430E">
            <w:pPr>
              <w:spacing w:before="60" w:after="0"/>
            </w:pPr>
            <w:bookmarkStart w:id="0" w:name="_Hlk189229784"/>
            <w:r w:rsidRPr="009D32A0">
              <w:t xml:space="preserve">Housing Revenue Account </w:t>
            </w:r>
            <w:r>
              <w:t>–</w:t>
            </w:r>
            <w:r w:rsidR="00D6430E">
              <w:t xml:space="preserve"> March 2025</w:t>
            </w:r>
            <w:r w:rsidRPr="009D32A0">
              <w:t xml:space="preserve"> Outturn</w:t>
            </w:r>
          </w:p>
          <w:bookmarkEnd w:id="0"/>
          <w:p w14:paraId="69F2DC3C" w14:textId="2F426DAE" w:rsidR="00857F02" w:rsidRPr="00964187" w:rsidRDefault="00857F02" w:rsidP="00D6430E">
            <w:pPr>
              <w:spacing w:before="60" w:after="0"/>
            </w:pPr>
            <w:r w:rsidRPr="009D32A0">
              <w:t>Capital Programme</w:t>
            </w:r>
            <w:r w:rsidR="00D6430E">
              <w:t xml:space="preserve"> Outturn</w:t>
            </w:r>
            <w:r w:rsidRPr="009D32A0">
              <w:t xml:space="preserve"> – </w:t>
            </w:r>
            <w:r w:rsidR="00D6430E">
              <w:t>March 2025</w:t>
            </w:r>
          </w:p>
        </w:tc>
        <w:tc>
          <w:tcPr>
            <w:tcW w:w="1701" w:type="dxa"/>
            <w:tcBorders>
              <w:top w:val="nil"/>
              <w:left w:val="single" w:sz="4" w:space="0" w:color="auto"/>
              <w:bottom w:val="single" w:sz="8" w:space="0" w:color="000000" w:themeColor="text1"/>
              <w:right w:val="single" w:sz="8" w:space="0" w:color="000000" w:themeColor="text1"/>
            </w:tcBorders>
          </w:tcPr>
          <w:p w14:paraId="4B1B7B05" w14:textId="77777777" w:rsidR="00857F02" w:rsidRDefault="00124D88" w:rsidP="00310837">
            <w:pPr>
              <w:spacing w:before="60" w:after="60"/>
            </w:pPr>
            <w:r>
              <w:t>No</w:t>
            </w:r>
          </w:p>
          <w:p w14:paraId="36D8D668" w14:textId="77777777" w:rsidR="00124D88" w:rsidRDefault="00124D88" w:rsidP="00310837">
            <w:pPr>
              <w:spacing w:before="60" w:after="60"/>
            </w:pPr>
            <w:r>
              <w:t>No</w:t>
            </w:r>
          </w:p>
          <w:p w14:paraId="1E0F4FEF" w14:textId="31F80B4E" w:rsidR="00124D88" w:rsidRPr="009D32A0" w:rsidRDefault="00124D88" w:rsidP="00310837">
            <w:pPr>
              <w:spacing w:before="60" w:after="60"/>
            </w:pPr>
            <w:r>
              <w:t>No</w:t>
            </w:r>
          </w:p>
        </w:tc>
      </w:tr>
    </w:tbl>
    <w:p w14:paraId="01179467" w14:textId="77042A48" w:rsidR="00124D88" w:rsidRPr="008015E8" w:rsidRDefault="00124D88" w:rsidP="008015E8"/>
    <w:p w14:paraId="1AAEF7B8" w14:textId="594D4765" w:rsidR="007A64CE" w:rsidRDefault="007A64CE">
      <w:pPr>
        <w:spacing w:after="0"/>
      </w:pPr>
      <w:r>
        <w:br w:type="page"/>
      </w:r>
    </w:p>
    <w:p w14:paraId="518EC513" w14:textId="7B34C2EF" w:rsidR="0040736F" w:rsidRPr="00871859" w:rsidRDefault="716FB854" w:rsidP="004A6D2F">
      <w:pPr>
        <w:pStyle w:val="Heading1"/>
        <w:rPr>
          <w:color w:val="auto"/>
        </w:rPr>
      </w:pPr>
      <w:r w:rsidRPr="14BF4969">
        <w:rPr>
          <w:color w:val="auto"/>
        </w:rPr>
        <w:lastRenderedPageBreak/>
        <w:t>I</w:t>
      </w:r>
      <w:r w:rsidR="4CB20B34" w:rsidRPr="14BF4969">
        <w:rPr>
          <w:color w:val="auto"/>
        </w:rPr>
        <w:t>ntroduction and b</w:t>
      </w:r>
      <w:r w:rsidR="77A20A22" w:rsidRPr="14BF4969">
        <w:rPr>
          <w:color w:val="auto"/>
        </w:rPr>
        <w:t>ackground</w:t>
      </w:r>
      <w:r w:rsidR="41E65D8E" w:rsidRPr="14BF4969">
        <w:rPr>
          <w:color w:val="auto"/>
        </w:rPr>
        <w:t xml:space="preserve"> </w:t>
      </w:r>
    </w:p>
    <w:p w14:paraId="571A21D5" w14:textId="20BE60F8" w:rsidR="00DD021A" w:rsidRPr="008172FC" w:rsidRDefault="36A9D1C1" w:rsidP="00D45DF3">
      <w:pPr>
        <w:pStyle w:val="ListParagraph"/>
        <w:numPr>
          <w:ilvl w:val="0"/>
          <w:numId w:val="5"/>
        </w:numPr>
        <w:tabs>
          <w:tab w:val="clear" w:pos="426"/>
        </w:tabs>
        <w:ind w:hanging="502"/>
        <w:rPr>
          <w:color w:val="auto"/>
        </w:rPr>
      </w:pPr>
      <w:r w:rsidRPr="008172FC">
        <w:rPr>
          <w:color w:val="auto"/>
        </w:rPr>
        <w:t xml:space="preserve">This report </w:t>
      </w:r>
      <w:r w:rsidR="6932CF35" w:rsidRPr="008172FC">
        <w:rPr>
          <w:color w:val="auto"/>
        </w:rPr>
        <w:t xml:space="preserve">updates the </w:t>
      </w:r>
      <w:r w:rsidR="21EC3946" w:rsidRPr="008172FC">
        <w:rPr>
          <w:color w:val="auto"/>
        </w:rPr>
        <w:t>Cabinet</w:t>
      </w:r>
      <w:r w:rsidR="6932CF35" w:rsidRPr="008172FC">
        <w:rPr>
          <w:color w:val="auto"/>
        </w:rPr>
        <w:t xml:space="preserve"> on the</w:t>
      </w:r>
      <w:r w:rsidR="446598DC" w:rsidRPr="008172FC">
        <w:rPr>
          <w:color w:val="auto"/>
        </w:rPr>
        <w:t xml:space="preserve"> financial</w:t>
      </w:r>
      <w:r w:rsidR="59CDF7E9" w:rsidRPr="008172FC">
        <w:rPr>
          <w:color w:val="auto"/>
        </w:rPr>
        <w:t xml:space="preserve"> p</w:t>
      </w:r>
      <w:r w:rsidR="6932CF35" w:rsidRPr="008172FC">
        <w:rPr>
          <w:color w:val="auto"/>
        </w:rPr>
        <w:t xml:space="preserve">erformance of the Council </w:t>
      </w:r>
      <w:r w:rsidR="001112A9" w:rsidRPr="008172FC">
        <w:rPr>
          <w:color w:val="auto"/>
        </w:rPr>
        <w:t xml:space="preserve">for the year ending </w:t>
      </w:r>
      <w:r w:rsidR="6932CF35" w:rsidRPr="008172FC">
        <w:rPr>
          <w:color w:val="auto"/>
        </w:rPr>
        <w:t>3</w:t>
      </w:r>
      <w:r w:rsidR="001D22E9" w:rsidRPr="008172FC">
        <w:rPr>
          <w:color w:val="auto"/>
        </w:rPr>
        <w:t>1</w:t>
      </w:r>
      <w:r w:rsidR="001D22E9" w:rsidRPr="008172FC">
        <w:rPr>
          <w:color w:val="auto"/>
          <w:vertAlign w:val="superscript"/>
        </w:rPr>
        <w:t>st</w:t>
      </w:r>
      <w:r w:rsidR="001D22E9" w:rsidRPr="008172FC">
        <w:rPr>
          <w:color w:val="auto"/>
        </w:rPr>
        <w:t xml:space="preserve"> </w:t>
      </w:r>
      <w:r w:rsidR="001112A9" w:rsidRPr="008172FC">
        <w:rPr>
          <w:color w:val="auto"/>
        </w:rPr>
        <w:t>March 2025</w:t>
      </w:r>
      <w:r w:rsidR="0074685F" w:rsidRPr="008172FC">
        <w:rPr>
          <w:color w:val="auto"/>
        </w:rPr>
        <w:t>.</w:t>
      </w:r>
    </w:p>
    <w:p w14:paraId="2FF52025" w14:textId="549B2C8F" w:rsidR="00FB70AC" w:rsidRPr="008172FC" w:rsidRDefault="61063836" w:rsidP="003976F3">
      <w:pPr>
        <w:pStyle w:val="Heading1"/>
        <w:rPr>
          <w:color w:val="auto"/>
        </w:rPr>
      </w:pPr>
      <w:r w:rsidRPr="008172FC">
        <w:rPr>
          <w:color w:val="auto"/>
        </w:rPr>
        <w:t xml:space="preserve">Financial </w:t>
      </w:r>
      <w:r w:rsidR="006C483B" w:rsidRPr="008172FC">
        <w:rPr>
          <w:color w:val="auto"/>
        </w:rPr>
        <w:t>Position</w:t>
      </w:r>
      <w:r w:rsidR="7F76ECE6" w:rsidRPr="008172FC">
        <w:rPr>
          <w:color w:val="auto"/>
        </w:rPr>
        <w:t xml:space="preserve"> Overview</w:t>
      </w:r>
    </w:p>
    <w:p w14:paraId="0175F603" w14:textId="71D2A3DA" w:rsidR="00142A87" w:rsidRPr="008172FC" w:rsidRDefault="00C2674F" w:rsidP="00D45DF3">
      <w:pPr>
        <w:pStyle w:val="ListParagraph"/>
        <w:numPr>
          <w:ilvl w:val="0"/>
          <w:numId w:val="5"/>
        </w:numPr>
        <w:tabs>
          <w:tab w:val="clear" w:pos="426"/>
        </w:tabs>
        <w:ind w:hanging="502"/>
      </w:pPr>
      <w:r w:rsidRPr="008172FC">
        <w:rPr>
          <w:b/>
          <w:bCs/>
        </w:rPr>
        <w:t>General Fund</w:t>
      </w:r>
      <w:r w:rsidRPr="008172FC">
        <w:t xml:space="preserve"> </w:t>
      </w:r>
      <w:r w:rsidR="00477C55" w:rsidRPr="008172FC">
        <w:t xml:space="preserve">(GF) </w:t>
      </w:r>
      <w:r w:rsidRPr="008172FC">
        <w:t xml:space="preserve">– </w:t>
      </w:r>
      <w:r w:rsidR="6421043D" w:rsidRPr="008172FC">
        <w:t>t</w:t>
      </w:r>
      <w:r w:rsidR="578A16B5" w:rsidRPr="008172FC">
        <w:t xml:space="preserve">he </w:t>
      </w:r>
      <w:r w:rsidR="00736034" w:rsidRPr="008172FC">
        <w:t xml:space="preserve">final </w:t>
      </w:r>
      <w:r w:rsidRPr="008172FC">
        <w:t>outturn po</w:t>
      </w:r>
      <w:r w:rsidR="3CB1879E" w:rsidRPr="008172FC">
        <w:t xml:space="preserve">sition </w:t>
      </w:r>
      <w:r w:rsidR="578A16B5" w:rsidRPr="008172FC">
        <w:t xml:space="preserve">is </w:t>
      </w:r>
      <w:r w:rsidR="00736034" w:rsidRPr="008172FC">
        <w:t>a deficit of £</w:t>
      </w:r>
      <w:r w:rsidR="008172FC" w:rsidRPr="008172FC">
        <w:t xml:space="preserve">1.549 </w:t>
      </w:r>
      <w:r w:rsidR="008F2FDD" w:rsidRPr="008172FC">
        <w:t>million</w:t>
      </w:r>
      <w:r w:rsidR="00C1061D" w:rsidRPr="008172FC">
        <w:t xml:space="preserve"> </w:t>
      </w:r>
      <w:r w:rsidRPr="008172FC">
        <w:t>(</w:t>
      </w:r>
      <w:r w:rsidR="00980150" w:rsidRPr="008172FC">
        <w:t>“</w:t>
      </w:r>
      <w:r w:rsidRPr="008172FC">
        <w:t>m</w:t>
      </w:r>
      <w:r w:rsidR="00980150" w:rsidRPr="008172FC">
        <w:t>”</w:t>
      </w:r>
      <w:r w:rsidRPr="008172FC">
        <w:t>)</w:t>
      </w:r>
      <w:r w:rsidR="6670E0A2" w:rsidRPr="008172FC">
        <w:t xml:space="preserve"> </w:t>
      </w:r>
      <w:r w:rsidR="00736034" w:rsidRPr="008172FC">
        <w:t xml:space="preserve">before a recommended </w:t>
      </w:r>
      <w:r w:rsidR="008172FC" w:rsidRPr="008172FC">
        <w:t xml:space="preserve">equivalent </w:t>
      </w:r>
      <w:r w:rsidR="00736034" w:rsidRPr="008172FC">
        <w:t xml:space="preserve">transfer from risk reserves </w:t>
      </w:r>
      <w:r w:rsidR="007624E6" w:rsidRPr="008172FC">
        <w:t xml:space="preserve">required to balance the fund due to significant cost pressures such as </w:t>
      </w:r>
      <w:r w:rsidR="00C1061D" w:rsidRPr="008172FC">
        <w:t xml:space="preserve">Temporary Accommodation </w:t>
      </w:r>
      <w:r w:rsidR="00423C89" w:rsidRPr="008172FC">
        <w:t>and</w:t>
      </w:r>
      <w:r w:rsidR="00C1061D" w:rsidRPr="008172FC">
        <w:t xml:space="preserve"> net cost of housing benefit payments</w:t>
      </w:r>
      <w:r w:rsidR="007624E6" w:rsidRPr="008172FC">
        <w:t xml:space="preserve">. </w:t>
      </w:r>
      <w:r w:rsidR="000E49D0" w:rsidRPr="008172FC">
        <w:t xml:space="preserve">Further detail is provided in paragraphs </w:t>
      </w:r>
      <w:r w:rsidR="00F016AF" w:rsidRPr="008172FC">
        <w:t>5</w:t>
      </w:r>
      <w:r w:rsidR="000E49D0" w:rsidRPr="008172FC">
        <w:t xml:space="preserve"> to </w:t>
      </w:r>
      <w:r w:rsidR="008172FC" w:rsidRPr="008172FC">
        <w:t>10</w:t>
      </w:r>
      <w:r w:rsidR="000E49D0" w:rsidRPr="008172FC">
        <w:t xml:space="preserve"> and Appendix </w:t>
      </w:r>
      <w:r w:rsidR="00A059DD">
        <w:t>1</w:t>
      </w:r>
      <w:r w:rsidR="000E49D0" w:rsidRPr="008172FC">
        <w:t>.</w:t>
      </w:r>
    </w:p>
    <w:p w14:paraId="28000FA9" w14:textId="3EEB1EF2" w:rsidR="009D32A0" w:rsidRPr="008172FC" w:rsidRDefault="00C2674F" w:rsidP="00020E7E">
      <w:pPr>
        <w:pStyle w:val="ListParagraph"/>
        <w:numPr>
          <w:ilvl w:val="0"/>
          <w:numId w:val="5"/>
        </w:numPr>
        <w:tabs>
          <w:tab w:val="clear" w:pos="426"/>
        </w:tabs>
        <w:ind w:hanging="502"/>
      </w:pPr>
      <w:r w:rsidRPr="008172FC">
        <w:rPr>
          <w:b/>
          <w:bCs/>
        </w:rPr>
        <w:t>Housing Revenue Account</w:t>
      </w:r>
      <w:r w:rsidRPr="008172FC">
        <w:t xml:space="preserve"> </w:t>
      </w:r>
      <w:r w:rsidR="00477C55" w:rsidRPr="008172FC">
        <w:t xml:space="preserve">(HRA) </w:t>
      </w:r>
      <w:r w:rsidRPr="008172FC">
        <w:t>–</w:t>
      </w:r>
      <w:r w:rsidR="7306A389" w:rsidRPr="008172FC">
        <w:t xml:space="preserve"> </w:t>
      </w:r>
      <w:r w:rsidR="009E5D6E" w:rsidRPr="008172FC">
        <w:t>The 2024/25</w:t>
      </w:r>
      <w:r w:rsidR="5DE97D42" w:rsidRPr="008172FC">
        <w:t xml:space="preserve"> </w:t>
      </w:r>
      <w:r w:rsidR="007A5620" w:rsidRPr="008172FC">
        <w:t>outturn</w:t>
      </w:r>
      <w:r w:rsidR="5DE97D42" w:rsidRPr="008172FC">
        <w:t xml:space="preserve"> </w:t>
      </w:r>
      <w:r w:rsidR="7E43F1DF" w:rsidRPr="008172FC">
        <w:t>p</w:t>
      </w:r>
      <w:r w:rsidR="5DE97D42" w:rsidRPr="008172FC">
        <w:t xml:space="preserve">osition </w:t>
      </w:r>
      <w:r w:rsidR="00020E7E" w:rsidRPr="008172FC">
        <w:t xml:space="preserve">on the HRA </w:t>
      </w:r>
      <w:r w:rsidR="5DE97D42" w:rsidRPr="008172FC">
        <w:t xml:space="preserve">is </w:t>
      </w:r>
      <w:r w:rsidR="00020E7E" w:rsidRPr="008172FC">
        <w:t xml:space="preserve">a </w:t>
      </w:r>
      <w:proofErr w:type="spellStart"/>
      <w:r w:rsidR="00020E7E" w:rsidRPr="008172FC">
        <w:t>year end</w:t>
      </w:r>
      <w:proofErr w:type="spellEnd"/>
      <w:r w:rsidR="00020E7E" w:rsidRPr="008172FC">
        <w:t xml:space="preserve"> surplus of £2.921m, which is a favourable variance of £9.403m against the original budgeted deficit of £6.482m. This favourable variance is mainly achieved via a lower revenue contribution to capital by £8.69m and an unbudgeted gain on the sale of fixed assets of £6.882m offset by an overspend on repairs of £7.82m. </w:t>
      </w:r>
      <w:r w:rsidR="000E49D0" w:rsidRPr="008172FC">
        <w:t xml:space="preserve">More information is provided in paragraph </w:t>
      </w:r>
      <w:r w:rsidR="008172FC" w:rsidRPr="008172FC">
        <w:t>11</w:t>
      </w:r>
      <w:r w:rsidR="000E49D0" w:rsidRPr="008172FC">
        <w:t xml:space="preserve"> and </w:t>
      </w:r>
      <w:r w:rsidR="00020E7E" w:rsidRPr="008172FC">
        <w:t xml:space="preserve">in </w:t>
      </w:r>
      <w:r w:rsidR="000E49D0" w:rsidRPr="008172FC">
        <w:t xml:space="preserve">Appendix </w:t>
      </w:r>
      <w:r w:rsidR="00A059DD">
        <w:t>2</w:t>
      </w:r>
      <w:r w:rsidR="000E49D0" w:rsidRPr="008172FC">
        <w:t>.</w:t>
      </w:r>
    </w:p>
    <w:p w14:paraId="0537494B" w14:textId="210A9793" w:rsidR="006B222F" w:rsidRPr="008172FC" w:rsidRDefault="5B1BAA90" w:rsidP="00CE5341">
      <w:pPr>
        <w:pStyle w:val="ListParagraph"/>
        <w:numPr>
          <w:ilvl w:val="0"/>
          <w:numId w:val="5"/>
        </w:numPr>
        <w:ind w:hanging="502"/>
      </w:pPr>
      <w:r w:rsidRPr="008172FC">
        <w:rPr>
          <w:b/>
          <w:bCs/>
        </w:rPr>
        <w:t xml:space="preserve">Capital Programme – </w:t>
      </w:r>
      <w:r w:rsidR="00512191" w:rsidRPr="008172FC">
        <w:t xml:space="preserve">the final outturn </w:t>
      </w:r>
      <w:proofErr w:type="gramStart"/>
      <w:r w:rsidR="00512191" w:rsidRPr="008172FC">
        <w:t>spend</w:t>
      </w:r>
      <w:proofErr w:type="gramEnd"/>
      <w:r w:rsidR="00512191" w:rsidRPr="008172FC">
        <w:t xml:space="preserve"> for the year 2024/25 is £145.</w:t>
      </w:r>
      <w:r w:rsidR="004C6FC5" w:rsidRPr="008172FC">
        <w:t>35</w:t>
      </w:r>
      <w:r w:rsidR="00512191" w:rsidRPr="008172FC">
        <w:t>m, which is 88% of the Latest Budget 2024/25 of £164.884m and a favourable variance of £19.</w:t>
      </w:r>
      <w:r w:rsidR="004C6FC5" w:rsidRPr="008172FC">
        <w:t>535</w:t>
      </w:r>
      <w:r w:rsidR="00512191" w:rsidRPr="008172FC">
        <w:t>m. This variance relates to £9.32</w:t>
      </w:r>
      <w:r w:rsidR="00A02735" w:rsidRPr="008172FC">
        <w:t>1</w:t>
      </w:r>
      <w:r w:rsidR="00512191" w:rsidRPr="008172FC">
        <w:t>m slippage of programme activity into 2025/26 and a net underspend of £</w:t>
      </w:r>
      <w:r w:rsidR="00A02735" w:rsidRPr="008172FC">
        <w:t>10.214</w:t>
      </w:r>
      <w:r w:rsidR="00512191" w:rsidRPr="008172FC">
        <w:t>m on budgeted projects mainly associated with the HRA demand driven spend on communal, internal and external works on council houses.</w:t>
      </w:r>
      <w:bookmarkStart w:id="1" w:name="_Hlk189433343"/>
      <w:r w:rsidR="00512191" w:rsidRPr="008172FC">
        <w:t xml:space="preserve"> </w:t>
      </w:r>
      <w:r w:rsidR="00D01880" w:rsidRPr="008172FC">
        <w:t xml:space="preserve">Further detail and analysis </w:t>
      </w:r>
      <w:r w:rsidR="000E49D0" w:rsidRPr="008172FC">
        <w:t>are</w:t>
      </w:r>
      <w:r w:rsidR="00D01880" w:rsidRPr="008172FC">
        <w:t xml:space="preserve"> provided in paragraphs</w:t>
      </w:r>
      <w:r w:rsidR="008172FC" w:rsidRPr="008172FC">
        <w:t xml:space="preserve"> 12</w:t>
      </w:r>
      <w:r w:rsidR="00D01880" w:rsidRPr="008172FC">
        <w:t xml:space="preserve"> to </w:t>
      </w:r>
      <w:r w:rsidR="00EA069A" w:rsidRPr="008172FC">
        <w:t>1</w:t>
      </w:r>
      <w:r w:rsidR="008172FC" w:rsidRPr="008172FC">
        <w:t>9</w:t>
      </w:r>
      <w:r w:rsidR="000E49D0" w:rsidRPr="008172FC">
        <w:t xml:space="preserve"> and Appendix </w:t>
      </w:r>
      <w:r w:rsidR="00A059DD">
        <w:t>3</w:t>
      </w:r>
      <w:r w:rsidR="00D01880" w:rsidRPr="008172FC">
        <w:t>.</w:t>
      </w:r>
    </w:p>
    <w:bookmarkEnd w:id="1"/>
    <w:p w14:paraId="40FAF4CD" w14:textId="3E4C67C7" w:rsidR="00536A53" w:rsidRPr="00240FF5" w:rsidRDefault="43B3B428" w:rsidP="00D45DF3">
      <w:pPr>
        <w:pStyle w:val="Heading1"/>
        <w:rPr>
          <w:color w:val="auto"/>
        </w:rPr>
      </w:pPr>
      <w:r w:rsidRPr="14BF4969">
        <w:rPr>
          <w:color w:val="auto"/>
        </w:rPr>
        <w:t>General Fund Revenue</w:t>
      </w:r>
      <w:r w:rsidR="001112A9">
        <w:rPr>
          <w:color w:val="auto"/>
        </w:rPr>
        <w:t xml:space="preserve"> Outturn</w:t>
      </w:r>
    </w:p>
    <w:p w14:paraId="768E27FF" w14:textId="0D7B2297" w:rsidR="00C41ADA" w:rsidRPr="008172FC" w:rsidRDefault="1EF22EA6" w:rsidP="00D45DF3">
      <w:pPr>
        <w:pStyle w:val="ListParagraph"/>
        <w:numPr>
          <w:ilvl w:val="0"/>
          <w:numId w:val="5"/>
        </w:numPr>
        <w:tabs>
          <w:tab w:val="clear" w:pos="426"/>
        </w:tabs>
        <w:ind w:left="851" w:hanging="567"/>
      </w:pPr>
      <w:r w:rsidRPr="008172FC">
        <w:t xml:space="preserve">The </w:t>
      </w:r>
      <w:r w:rsidR="13BAFF69" w:rsidRPr="008172FC">
        <w:t xml:space="preserve">overall </w:t>
      </w:r>
      <w:r w:rsidR="008F0ADE" w:rsidRPr="008172FC">
        <w:t>N</w:t>
      </w:r>
      <w:r w:rsidR="3DFB6C05" w:rsidRPr="008172FC">
        <w:t>et</w:t>
      </w:r>
      <w:r w:rsidR="610A0199" w:rsidRPr="008172FC">
        <w:t xml:space="preserve"> </w:t>
      </w:r>
      <w:r w:rsidR="2F8A73AF" w:rsidRPr="008172FC">
        <w:t>B</w:t>
      </w:r>
      <w:r w:rsidR="13BAFF69" w:rsidRPr="008172FC">
        <w:t xml:space="preserve">udget </w:t>
      </w:r>
      <w:r w:rsidR="008F0ADE" w:rsidRPr="008172FC">
        <w:t xml:space="preserve">Requirement </w:t>
      </w:r>
      <w:r w:rsidR="00423EAB" w:rsidRPr="008172FC">
        <w:t xml:space="preserve">for </w:t>
      </w:r>
      <w:r w:rsidR="000A38A2" w:rsidRPr="008172FC">
        <w:t>2024/25</w:t>
      </w:r>
      <w:r w:rsidR="00423EAB" w:rsidRPr="008172FC">
        <w:t xml:space="preserve"> </w:t>
      </w:r>
      <w:r w:rsidR="7CA8868B" w:rsidRPr="008172FC">
        <w:t>a</w:t>
      </w:r>
      <w:r w:rsidR="21EC3946" w:rsidRPr="008172FC">
        <w:t>greed by the</w:t>
      </w:r>
      <w:r w:rsidR="0B207DA2" w:rsidRPr="008172FC">
        <w:t xml:space="preserve"> Council in February 202</w:t>
      </w:r>
      <w:r w:rsidR="11587138" w:rsidRPr="008172FC">
        <w:t>4</w:t>
      </w:r>
      <w:r w:rsidR="13BAFF69" w:rsidRPr="008172FC">
        <w:t xml:space="preserve"> was £</w:t>
      </w:r>
      <w:r w:rsidR="669B92CC" w:rsidRPr="008172FC">
        <w:t>2</w:t>
      </w:r>
      <w:r w:rsidR="11587138" w:rsidRPr="008172FC">
        <w:t>8</w:t>
      </w:r>
      <w:r w:rsidR="0A9669DA" w:rsidRPr="008172FC">
        <w:t>.</w:t>
      </w:r>
      <w:r w:rsidR="11587138" w:rsidRPr="008172FC">
        <w:t>6</w:t>
      </w:r>
      <w:r w:rsidR="00736034" w:rsidRPr="008172FC">
        <w:t>04</w:t>
      </w:r>
      <w:r w:rsidR="008F2FDD" w:rsidRPr="008172FC">
        <w:t>m</w:t>
      </w:r>
      <w:r w:rsidR="2E360C37" w:rsidRPr="008172FC">
        <w:t xml:space="preserve"> after a £1.</w:t>
      </w:r>
      <w:r w:rsidR="002A0F8B" w:rsidRPr="008172FC">
        <w:t>4</w:t>
      </w:r>
      <w:r w:rsidR="008F2FDD" w:rsidRPr="008172FC">
        <w:t>m</w:t>
      </w:r>
      <w:r w:rsidR="2E360C37" w:rsidRPr="008172FC">
        <w:t xml:space="preserve"> transfer from </w:t>
      </w:r>
      <w:r w:rsidR="53BC0759" w:rsidRPr="008172FC">
        <w:t xml:space="preserve">general </w:t>
      </w:r>
      <w:r w:rsidR="2E360C37" w:rsidRPr="008172FC">
        <w:t>reserve</w:t>
      </w:r>
      <w:r w:rsidR="7299EEBF" w:rsidRPr="008172FC">
        <w:t>s</w:t>
      </w:r>
      <w:r w:rsidR="40B0E61B" w:rsidRPr="008172FC">
        <w:t>.</w:t>
      </w:r>
    </w:p>
    <w:p w14:paraId="500BA2FB" w14:textId="0F49CFD4" w:rsidR="00A01A7E" w:rsidRPr="008172FC" w:rsidRDefault="00A01A7E" w:rsidP="00D45DF3">
      <w:pPr>
        <w:pStyle w:val="ListParagraph"/>
        <w:numPr>
          <w:ilvl w:val="0"/>
          <w:numId w:val="5"/>
        </w:numPr>
        <w:ind w:left="851" w:hanging="567"/>
      </w:pPr>
      <w:r w:rsidRPr="008172FC">
        <w:t xml:space="preserve">The final outturn position </w:t>
      </w:r>
      <w:proofErr w:type="gramStart"/>
      <w:r w:rsidRPr="008172FC">
        <w:t>at</w:t>
      </w:r>
      <w:proofErr w:type="gramEnd"/>
      <w:r w:rsidRPr="008172FC">
        <w:t xml:space="preserve"> 31</w:t>
      </w:r>
      <w:r w:rsidRPr="008172FC">
        <w:rPr>
          <w:vertAlign w:val="superscript"/>
        </w:rPr>
        <w:t>st</w:t>
      </w:r>
      <w:r w:rsidRPr="008172FC">
        <w:t xml:space="preserve"> March 2025 is a deficit of £</w:t>
      </w:r>
      <w:r w:rsidR="008172FC" w:rsidRPr="008172FC">
        <w:t>1.549</w:t>
      </w:r>
      <w:r w:rsidRPr="008172FC">
        <w:t xml:space="preserve">m as set out in Appendix </w:t>
      </w:r>
      <w:r w:rsidR="00A059DD">
        <w:t>1</w:t>
      </w:r>
      <w:r w:rsidRPr="008172FC">
        <w:t xml:space="preserve"> including a total of £0.083m of General Fund carry forward requests which have been recommended for approval. Carry forward requests have been proposed for the following:</w:t>
      </w:r>
    </w:p>
    <w:p w14:paraId="70E234D7" w14:textId="02FC3643" w:rsidR="00B24899" w:rsidRPr="008172FC" w:rsidRDefault="00A01A7E" w:rsidP="007A7DA6">
      <w:pPr>
        <w:pStyle w:val="ListParagraph"/>
        <w:numPr>
          <w:ilvl w:val="0"/>
          <w:numId w:val="19"/>
        </w:numPr>
      </w:pPr>
      <w:r w:rsidRPr="008172FC">
        <w:t xml:space="preserve">Community Champions programme </w:t>
      </w:r>
      <w:r w:rsidR="00B24899" w:rsidRPr="008172FC">
        <w:t xml:space="preserve">extension to autumn 2025 </w:t>
      </w:r>
      <w:r w:rsidRPr="008172FC">
        <w:t>-</w:t>
      </w:r>
      <w:r w:rsidR="00B24899" w:rsidRPr="008172FC">
        <w:t xml:space="preserve"> £47,000</w:t>
      </w:r>
    </w:p>
    <w:p w14:paraId="4DCCF86E" w14:textId="1C347D70" w:rsidR="00A01A7E" w:rsidRDefault="00B24899" w:rsidP="007A7DA6">
      <w:pPr>
        <w:pStyle w:val="ListParagraph"/>
        <w:numPr>
          <w:ilvl w:val="0"/>
          <w:numId w:val="19"/>
        </w:numPr>
      </w:pPr>
      <w:r w:rsidRPr="008172FC">
        <w:t>Active Oxfordshire Move Together Community Space - £36,000</w:t>
      </w:r>
    </w:p>
    <w:p w14:paraId="485016AB" w14:textId="3C9984ED" w:rsidR="00F6387E" w:rsidRPr="008172FC" w:rsidRDefault="00F6387E" w:rsidP="00F6387E">
      <w:pPr>
        <w:pStyle w:val="ListParagraph"/>
        <w:numPr>
          <w:ilvl w:val="0"/>
          <w:numId w:val="5"/>
        </w:numPr>
        <w:ind w:left="851" w:hanging="567"/>
      </w:pPr>
      <w:r w:rsidRPr="00F6387E">
        <w:t xml:space="preserve">The General Fund Earmarked Reserves </w:t>
      </w:r>
      <w:proofErr w:type="gramStart"/>
      <w:r w:rsidRPr="00F6387E">
        <w:t>at</w:t>
      </w:r>
      <w:proofErr w:type="gramEnd"/>
      <w:r w:rsidRPr="00F6387E">
        <w:t xml:space="preserve"> 31 March 2025 stand at £56.498m </w:t>
      </w:r>
      <w:r w:rsidR="00010264">
        <w:t>of which the most significant earmarked reserves are</w:t>
      </w:r>
      <w:r w:rsidRPr="00F6387E">
        <w:t xml:space="preserve"> as follows:</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1701"/>
      </w:tblGrid>
      <w:tr w:rsidR="00F6387E" w14:paraId="24883EA5" w14:textId="77777777" w:rsidTr="007A7DA6">
        <w:tc>
          <w:tcPr>
            <w:tcW w:w="4596" w:type="dxa"/>
          </w:tcPr>
          <w:p w14:paraId="35B67ADA" w14:textId="4B58C937" w:rsidR="00F6387E" w:rsidRDefault="00F6387E" w:rsidP="00F6387E">
            <w:pPr>
              <w:ind w:left="98"/>
            </w:pPr>
            <w:r w:rsidRPr="00F6387E">
              <w:t>NNDR reserve</w:t>
            </w:r>
            <w:r w:rsidRPr="00F6387E">
              <w:tab/>
            </w:r>
          </w:p>
        </w:tc>
        <w:tc>
          <w:tcPr>
            <w:tcW w:w="1701" w:type="dxa"/>
          </w:tcPr>
          <w:p w14:paraId="3493C8B9" w14:textId="29657826" w:rsidR="00F6387E" w:rsidRDefault="00F6387E" w:rsidP="00F6387E">
            <w:pPr>
              <w:ind w:left="226"/>
              <w:jc w:val="right"/>
            </w:pPr>
            <w:r>
              <w:t>£16.711m</w:t>
            </w:r>
          </w:p>
        </w:tc>
      </w:tr>
      <w:tr w:rsidR="00F6387E" w14:paraId="542ACC91" w14:textId="77777777" w:rsidTr="007A7DA6">
        <w:tc>
          <w:tcPr>
            <w:tcW w:w="4596" w:type="dxa"/>
          </w:tcPr>
          <w:p w14:paraId="19D806D4" w14:textId="425153D2" w:rsidR="00F6387E" w:rsidRDefault="00F6387E" w:rsidP="00F6387E">
            <w:pPr>
              <w:ind w:left="98"/>
            </w:pPr>
            <w:r w:rsidRPr="00F6387E">
              <w:t>Direct revenue funding of capital</w:t>
            </w:r>
          </w:p>
        </w:tc>
        <w:tc>
          <w:tcPr>
            <w:tcW w:w="1701" w:type="dxa"/>
          </w:tcPr>
          <w:p w14:paraId="0F8AA00D" w14:textId="3A3515C3" w:rsidR="00F6387E" w:rsidRDefault="00F6387E" w:rsidP="00F6387E">
            <w:pPr>
              <w:ind w:left="220"/>
              <w:jc w:val="right"/>
            </w:pPr>
            <w:r>
              <w:t>£10.406m</w:t>
            </w:r>
          </w:p>
        </w:tc>
      </w:tr>
      <w:tr w:rsidR="00F6387E" w14:paraId="3E3A93D5" w14:textId="77777777" w:rsidTr="007A7DA6">
        <w:tc>
          <w:tcPr>
            <w:tcW w:w="4596" w:type="dxa"/>
          </w:tcPr>
          <w:p w14:paraId="08F6B936" w14:textId="2DC9089C" w:rsidR="00F6387E" w:rsidRDefault="00F6387E" w:rsidP="00F6387E">
            <w:pPr>
              <w:ind w:left="98"/>
            </w:pPr>
            <w:r>
              <w:t>Grants reserve</w:t>
            </w:r>
          </w:p>
        </w:tc>
        <w:tc>
          <w:tcPr>
            <w:tcW w:w="1701" w:type="dxa"/>
          </w:tcPr>
          <w:p w14:paraId="7C2BFA9F" w14:textId="7CB1AEBB" w:rsidR="00F6387E" w:rsidRDefault="00F6387E" w:rsidP="00F6387E">
            <w:pPr>
              <w:ind w:left="220"/>
              <w:jc w:val="right"/>
            </w:pPr>
            <w:r>
              <w:t>£8.974m</w:t>
            </w:r>
          </w:p>
        </w:tc>
      </w:tr>
      <w:tr w:rsidR="00F6387E" w14:paraId="0DB30A40" w14:textId="77777777" w:rsidTr="007A7DA6">
        <w:tc>
          <w:tcPr>
            <w:tcW w:w="4596" w:type="dxa"/>
          </w:tcPr>
          <w:p w14:paraId="684625C6" w14:textId="57B19801" w:rsidR="00F6387E" w:rsidRDefault="00F6387E" w:rsidP="00F6387E">
            <w:pPr>
              <w:ind w:left="98"/>
            </w:pPr>
            <w:r>
              <w:t>Risk reserve</w:t>
            </w:r>
          </w:p>
        </w:tc>
        <w:tc>
          <w:tcPr>
            <w:tcW w:w="1701" w:type="dxa"/>
          </w:tcPr>
          <w:p w14:paraId="6623FD23" w14:textId="63C0C352" w:rsidR="00F6387E" w:rsidRDefault="00F6387E" w:rsidP="00F6387E">
            <w:pPr>
              <w:ind w:left="220"/>
              <w:jc w:val="right"/>
            </w:pPr>
            <w:r>
              <w:t>£6.</w:t>
            </w:r>
            <w:r w:rsidR="007A7DA6">
              <w:t>690m</w:t>
            </w:r>
          </w:p>
        </w:tc>
      </w:tr>
      <w:tr w:rsidR="00F6387E" w14:paraId="62818AE5" w14:textId="77777777" w:rsidTr="007A7DA6">
        <w:tc>
          <w:tcPr>
            <w:tcW w:w="4596" w:type="dxa"/>
          </w:tcPr>
          <w:p w14:paraId="289CE742" w14:textId="5BADE06F" w:rsidR="00F6387E" w:rsidRDefault="00F6387E" w:rsidP="00F6387E">
            <w:pPr>
              <w:ind w:left="98"/>
            </w:pPr>
            <w:r>
              <w:t>Property Fund Guarantee Reserve</w:t>
            </w:r>
          </w:p>
        </w:tc>
        <w:tc>
          <w:tcPr>
            <w:tcW w:w="1701" w:type="dxa"/>
          </w:tcPr>
          <w:p w14:paraId="266096AF" w14:textId="15A94EB0" w:rsidR="00F6387E" w:rsidRDefault="00F6387E" w:rsidP="00F6387E">
            <w:pPr>
              <w:ind w:left="220"/>
              <w:jc w:val="right"/>
            </w:pPr>
            <w:r>
              <w:t>£</w:t>
            </w:r>
            <w:r w:rsidR="007A7DA6">
              <w:t>2</w:t>
            </w:r>
            <w:r>
              <w:t>.</w:t>
            </w:r>
            <w:r w:rsidR="007A7DA6">
              <w:t>960</w:t>
            </w:r>
            <w:r>
              <w:t>m</w:t>
            </w:r>
          </w:p>
        </w:tc>
      </w:tr>
      <w:tr w:rsidR="00F6387E" w14:paraId="2FBEA108" w14:textId="77777777" w:rsidTr="007A7DA6">
        <w:tc>
          <w:tcPr>
            <w:tcW w:w="4596" w:type="dxa"/>
          </w:tcPr>
          <w:p w14:paraId="1EBA4C6F" w14:textId="449AD355" w:rsidR="00F6387E" w:rsidRDefault="00F6387E" w:rsidP="00F6387E">
            <w:pPr>
              <w:ind w:left="98"/>
            </w:pPr>
            <w:r>
              <w:t>Employee Cost Reserve</w:t>
            </w:r>
          </w:p>
        </w:tc>
        <w:tc>
          <w:tcPr>
            <w:tcW w:w="1701" w:type="dxa"/>
          </w:tcPr>
          <w:p w14:paraId="6C12FE9C" w14:textId="209249AE" w:rsidR="00F6387E" w:rsidRDefault="00F6387E" w:rsidP="00F6387E">
            <w:pPr>
              <w:ind w:left="220"/>
              <w:jc w:val="right"/>
            </w:pPr>
            <w:r>
              <w:t>£</w:t>
            </w:r>
            <w:r w:rsidR="007A7DA6">
              <w:t>2.943</w:t>
            </w:r>
            <w:r>
              <w:t>m</w:t>
            </w:r>
          </w:p>
        </w:tc>
      </w:tr>
    </w:tbl>
    <w:p w14:paraId="557D256B" w14:textId="77777777" w:rsidR="00A13062" w:rsidRDefault="00A13062" w:rsidP="00A13062">
      <w:pPr>
        <w:ind w:left="284"/>
      </w:pPr>
    </w:p>
    <w:p w14:paraId="5025FB8B" w14:textId="4CF105ED" w:rsidR="00B24899" w:rsidRPr="008172FC" w:rsidRDefault="00B24899" w:rsidP="00CE7818">
      <w:pPr>
        <w:pStyle w:val="ListParagraph"/>
        <w:numPr>
          <w:ilvl w:val="0"/>
          <w:numId w:val="5"/>
        </w:numPr>
        <w:ind w:left="851" w:hanging="567"/>
      </w:pPr>
      <w:r w:rsidRPr="008172FC">
        <w:lastRenderedPageBreak/>
        <w:t>The current MTFP provides for exhausting the risk reserve and spending half of the direct funding reserve to fund capital, although usage of the direct funding reserve will depend on the level of slippage within the capital programme and of other resources generated to finance the programme</w:t>
      </w:r>
    </w:p>
    <w:p w14:paraId="747BD3D3" w14:textId="4FDE3540" w:rsidR="00B24899" w:rsidRPr="008172FC" w:rsidRDefault="00B24899" w:rsidP="00CE7818">
      <w:pPr>
        <w:pStyle w:val="ListParagraph"/>
        <w:numPr>
          <w:ilvl w:val="0"/>
          <w:numId w:val="5"/>
        </w:numPr>
        <w:ind w:left="851" w:hanging="567"/>
      </w:pPr>
      <w:r w:rsidRPr="008172FC">
        <w:t xml:space="preserve">In addition to the above the General Fund Working Balance was </w:t>
      </w:r>
      <w:r w:rsidRPr="007A7DA6">
        <w:t>£</w:t>
      </w:r>
      <w:r w:rsidR="000B50BF" w:rsidRPr="007A7DA6">
        <w:t>3.6</w:t>
      </w:r>
      <w:r w:rsidRPr="007A7DA6">
        <w:t>m as</w:t>
      </w:r>
      <w:r w:rsidRPr="008172FC">
        <w:t xml:space="preserve"> </w:t>
      </w:r>
      <w:proofErr w:type="gramStart"/>
      <w:r w:rsidRPr="008172FC">
        <w:t>at</w:t>
      </w:r>
      <w:proofErr w:type="gramEnd"/>
      <w:r w:rsidRPr="008172FC">
        <w:t xml:space="preserve"> 31st March 2025.</w:t>
      </w:r>
    </w:p>
    <w:p w14:paraId="33490247" w14:textId="57D8B1D4" w:rsidR="00B24899" w:rsidRPr="00B24899" w:rsidRDefault="00B24899" w:rsidP="00B24899">
      <w:pPr>
        <w:pStyle w:val="Heading1"/>
        <w:rPr>
          <w:color w:val="auto"/>
        </w:rPr>
      </w:pPr>
      <w:r w:rsidRPr="00B24899">
        <w:rPr>
          <w:color w:val="auto"/>
        </w:rPr>
        <w:t>General Fund Variations</w:t>
      </w:r>
    </w:p>
    <w:p w14:paraId="0F18D7DC" w14:textId="0CE8B67C" w:rsidR="007075C2" w:rsidRPr="008172FC" w:rsidRDefault="007075C2" w:rsidP="000C2945">
      <w:pPr>
        <w:pStyle w:val="ListParagraph"/>
        <w:numPr>
          <w:ilvl w:val="0"/>
          <w:numId w:val="5"/>
        </w:numPr>
        <w:ind w:left="851" w:hanging="567"/>
      </w:pPr>
      <w:r w:rsidRPr="008172FC">
        <w:t xml:space="preserve">Main </w:t>
      </w:r>
      <w:r w:rsidR="000C2945" w:rsidRPr="008172FC">
        <w:t xml:space="preserve">2024/25 </w:t>
      </w:r>
      <w:r w:rsidRPr="008172FC">
        <w:t xml:space="preserve">variations </w:t>
      </w:r>
      <w:r w:rsidR="000C2945" w:rsidRPr="008172FC">
        <w:t xml:space="preserve">to budget </w:t>
      </w:r>
      <w:r w:rsidRPr="008172FC">
        <w:t>include:</w:t>
      </w:r>
    </w:p>
    <w:p w14:paraId="32B6D92A" w14:textId="340970D1" w:rsidR="00326558" w:rsidRPr="008172FC" w:rsidRDefault="00326558" w:rsidP="007A7DA6">
      <w:pPr>
        <w:pStyle w:val="ListParagraph"/>
        <w:numPr>
          <w:ilvl w:val="0"/>
          <w:numId w:val="14"/>
        </w:numPr>
        <w:ind w:left="1134"/>
      </w:pPr>
      <w:r w:rsidRPr="6EEBB0F3">
        <w:rPr>
          <w:b/>
          <w:bCs/>
        </w:rPr>
        <w:t>Housing Services/ Temporary accommodation</w:t>
      </w:r>
      <w:r>
        <w:t xml:space="preserve"> – demand continues to fluctuate whilst supply of housing is being increased via a variety of routes, HRA, Private Rented Sector etc. Due to the ongoing TA demand the 2024-25 actual overspend is </w:t>
      </w:r>
      <w:r w:rsidRPr="6EEBB0F3">
        <w:rPr>
          <w:b/>
          <w:bCs/>
        </w:rPr>
        <w:t>£1.89m</w:t>
      </w:r>
      <w:r>
        <w:t>. A</w:t>
      </w:r>
      <w:r w:rsidR="76509B97">
        <w:t>n</w:t>
      </w:r>
      <w:r>
        <w:t xml:space="preserve"> </w:t>
      </w:r>
      <w:r w:rsidR="5F6031C5">
        <w:t xml:space="preserve">annual </w:t>
      </w:r>
      <w:r>
        <w:t xml:space="preserve">pressure of £1.73m has been included in the base budget within the </w:t>
      </w:r>
      <w:r w:rsidR="7D6B8994">
        <w:t>20</w:t>
      </w:r>
      <w:r>
        <w:t xml:space="preserve">25-26 </w:t>
      </w:r>
      <w:r w:rsidR="00D17FFA">
        <w:t xml:space="preserve">budget and ongoing </w:t>
      </w:r>
      <w:r>
        <w:t>MTFP to address the ongoing demand for this category of accommodation.</w:t>
      </w:r>
    </w:p>
    <w:p w14:paraId="6408D689" w14:textId="2F7E3337" w:rsidR="00326558" w:rsidRPr="008172FC" w:rsidRDefault="00326558" w:rsidP="007A7DA6">
      <w:pPr>
        <w:pStyle w:val="ListParagraph"/>
        <w:numPr>
          <w:ilvl w:val="0"/>
          <w:numId w:val="14"/>
        </w:numPr>
        <w:ind w:left="1134"/>
      </w:pPr>
      <w:r w:rsidRPr="008172FC">
        <w:rPr>
          <w:b/>
          <w:bCs/>
        </w:rPr>
        <w:t xml:space="preserve">Community Services </w:t>
      </w:r>
      <w:r w:rsidRPr="008172FC">
        <w:t xml:space="preserve">– the actual underspend of </w:t>
      </w:r>
      <w:r w:rsidRPr="008172FC">
        <w:rPr>
          <w:b/>
          <w:bCs/>
        </w:rPr>
        <w:t>£1.067m</w:t>
      </w:r>
      <w:r w:rsidRPr="008172FC">
        <w:t xml:space="preserve"> against budget for year-end relates mainly to Leisure £0.809m and £0.139m underspend for Community Centres due to East Oxford and Blackbird Leys community centres being closed and out of use due to redevelopment reducing running costs including salaries.</w:t>
      </w:r>
    </w:p>
    <w:p w14:paraId="421B2155" w14:textId="77777777" w:rsidR="00326558" w:rsidRPr="008172FC" w:rsidRDefault="00326558" w:rsidP="00326558">
      <w:pPr>
        <w:ind w:left="1135"/>
      </w:pPr>
      <w:r w:rsidRPr="008172FC">
        <w:t>The Leisure underspend comprises:</w:t>
      </w:r>
    </w:p>
    <w:p w14:paraId="25DA925F" w14:textId="306B453F" w:rsidR="00326558" w:rsidRPr="008172FC" w:rsidRDefault="00326558" w:rsidP="007A7DA6">
      <w:pPr>
        <w:pStyle w:val="ListParagraph"/>
        <w:numPr>
          <w:ilvl w:val="0"/>
          <w:numId w:val="15"/>
        </w:numPr>
      </w:pPr>
      <w:r>
        <w:t xml:space="preserve">a one-off £0.387m favourable variance for the concluded leisure contract </w:t>
      </w:r>
      <w:proofErr w:type="gramStart"/>
      <w:r>
        <w:t>as a result of</w:t>
      </w:r>
      <w:proofErr w:type="gramEnd"/>
      <w:r>
        <w:t xml:space="preserve"> </w:t>
      </w:r>
      <w:r w:rsidR="7AD93D00">
        <w:t>an improved settlement agreement in respect of outstanding debt</w:t>
      </w:r>
    </w:p>
    <w:p w14:paraId="4D2E0DD8" w14:textId="7677E9DB" w:rsidR="00326558" w:rsidRPr="008172FC" w:rsidRDefault="00326558" w:rsidP="007A7DA6">
      <w:pPr>
        <w:pStyle w:val="ListParagraph"/>
        <w:numPr>
          <w:ilvl w:val="0"/>
          <w:numId w:val="15"/>
        </w:numPr>
      </w:pPr>
      <w:r w:rsidRPr="008172FC">
        <w:t>an underspend of £0.543m compared to the budget for the in-year procured SERCO leisure contract relating to savings for utilities of £0.380m and contingency of £0.160m offset by leisure central management cost pressure of £0.057m mainly due to insurance.</w:t>
      </w:r>
    </w:p>
    <w:p w14:paraId="2783E8B9" w14:textId="53C3FD59" w:rsidR="00262D86" w:rsidRPr="008172FC" w:rsidRDefault="00262D86" w:rsidP="007A7DA6">
      <w:pPr>
        <w:pStyle w:val="ListParagraph"/>
        <w:numPr>
          <w:ilvl w:val="0"/>
          <w:numId w:val="14"/>
        </w:numPr>
        <w:ind w:left="1134"/>
      </w:pPr>
      <w:r w:rsidRPr="008172FC">
        <w:rPr>
          <w:b/>
          <w:bCs/>
        </w:rPr>
        <w:t xml:space="preserve">Information &amp; Technology </w:t>
      </w:r>
      <w:r w:rsidRPr="008172FC">
        <w:t xml:space="preserve">– actual adverse variance of £0.895m due mostly </w:t>
      </w:r>
      <w:proofErr w:type="gramStart"/>
      <w:r w:rsidRPr="008172FC">
        <w:t>to :</w:t>
      </w:r>
      <w:proofErr w:type="gramEnd"/>
    </w:p>
    <w:p w14:paraId="0A83D282" w14:textId="7AC2FE06" w:rsidR="00262D86" w:rsidRPr="008172FC" w:rsidRDefault="00262D86" w:rsidP="007A7DA6">
      <w:pPr>
        <w:pStyle w:val="ListParagraph"/>
        <w:numPr>
          <w:ilvl w:val="0"/>
          <w:numId w:val="16"/>
        </w:numPr>
      </w:pPr>
      <w:r w:rsidRPr="008172FC">
        <w:t>£1.183m adverse pressure resulting from SCC server hosting costs and the costs of migrating individual systems to an Azure cloud-based platform together with IT absorbing unbudgeted running costs arising from the introduction of new systems commissioned by different service areas. A new SCC contract was agreed in October 2024 which provides mitigation against recurring expenditure at this level.</w:t>
      </w:r>
    </w:p>
    <w:p w14:paraId="7E2F7BC5" w14:textId="6B95E739" w:rsidR="00262D86" w:rsidRPr="008172FC" w:rsidRDefault="00262D86" w:rsidP="007A7DA6">
      <w:pPr>
        <w:pStyle w:val="ListParagraph"/>
        <w:numPr>
          <w:ilvl w:val="0"/>
          <w:numId w:val="16"/>
        </w:numPr>
      </w:pPr>
      <w:r w:rsidRPr="008172FC">
        <w:t xml:space="preserve">£0.263m one-off contractual payments regarding telephony services, incurred during the delivery of the new contract, which will deliver recurring savings of £0.230m per annum. </w:t>
      </w:r>
    </w:p>
    <w:p w14:paraId="7EAC3DC2" w14:textId="4DC034D7" w:rsidR="00262D86" w:rsidRPr="008172FC" w:rsidRDefault="00262D86" w:rsidP="007A7DA6">
      <w:pPr>
        <w:pStyle w:val="ListParagraph"/>
        <w:numPr>
          <w:ilvl w:val="0"/>
          <w:numId w:val="16"/>
        </w:numPr>
      </w:pPr>
      <w:r w:rsidRPr="008172FC">
        <w:t>£0.498m favourable variance from the recharge of ICT salaries to other revenue service areas, £0.058mm and capital schemes, £0.440m</w:t>
      </w:r>
    </w:p>
    <w:p w14:paraId="7E711C13" w14:textId="77777777" w:rsidR="00A13062" w:rsidRPr="00A13062" w:rsidRDefault="00A13062" w:rsidP="00A13062">
      <w:pPr>
        <w:ind w:left="774"/>
      </w:pPr>
    </w:p>
    <w:p w14:paraId="77D11F8D" w14:textId="77777777" w:rsidR="00A13062" w:rsidRPr="00A13062" w:rsidRDefault="00A13062" w:rsidP="00A13062">
      <w:pPr>
        <w:ind w:left="774"/>
      </w:pPr>
    </w:p>
    <w:p w14:paraId="1DD12EB1" w14:textId="77777777" w:rsidR="00A13062" w:rsidRPr="00A13062" w:rsidRDefault="00A13062" w:rsidP="00A13062">
      <w:pPr>
        <w:ind w:left="774"/>
      </w:pPr>
    </w:p>
    <w:p w14:paraId="6A8B581D" w14:textId="2CB45943" w:rsidR="00262D86" w:rsidRPr="008172FC" w:rsidRDefault="00262D86" w:rsidP="007A7DA6">
      <w:pPr>
        <w:pStyle w:val="ListParagraph"/>
        <w:numPr>
          <w:ilvl w:val="0"/>
          <w:numId w:val="14"/>
        </w:numPr>
        <w:ind w:left="1134"/>
      </w:pPr>
      <w:r w:rsidRPr="008172FC">
        <w:rPr>
          <w:b/>
          <w:bCs/>
        </w:rPr>
        <w:lastRenderedPageBreak/>
        <w:t xml:space="preserve">Corporate Property </w:t>
      </w:r>
      <w:r w:rsidRPr="008172FC">
        <w:t xml:space="preserve">– actual </w:t>
      </w:r>
      <w:r w:rsidR="008172FC" w:rsidRPr="008172FC">
        <w:t xml:space="preserve">favourable </w:t>
      </w:r>
      <w:r w:rsidRPr="008172FC">
        <w:t>variance of £</w:t>
      </w:r>
      <w:r w:rsidR="008172FC" w:rsidRPr="008172FC">
        <w:t>107k</w:t>
      </w:r>
      <w:r w:rsidRPr="008172FC">
        <w:t xml:space="preserve"> due </w:t>
      </w:r>
      <w:proofErr w:type="gramStart"/>
      <w:r w:rsidRPr="008172FC">
        <w:t>to :</w:t>
      </w:r>
      <w:proofErr w:type="gramEnd"/>
    </w:p>
    <w:p w14:paraId="68A05547" w14:textId="0EF8FAC1" w:rsidR="00262D86" w:rsidRPr="008172FC" w:rsidRDefault="00262D86" w:rsidP="007A7DA6">
      <w:pPr>
        <w:pStyle w:val="ListParagraph"/>
        <w:numPr>
          <w:ilvl w:val="0"/>
          <w:numId w:val="16"/>
        </w:numPr>
      </w:pPr>
      <w:r w:rsidRPr="008172FC">
        <w:t>an underspend of £0.224m on maintenance and minor repairs</w:t>
      </w:r>
    </w:p>
    <w:p w14:paraId="69F4678C" w14:textId="3D85A7AE" w:rsidR="00262D86" w:rsidRPr="008172FC" w:rsidRDefault="00262D86" w:rsidP="007A7DA6">
      <w:pPr>
        <w:pStyle w:val="ListParagraph"/>
        <w:numPr>
          <w:ilvl w:val="0"/>
          <w:numId w:val="16"/>
        </w:numPr>
      </w:pPr>
      <w:r w:rsidRPr="008172FC">
        <w:t>unbudgeted income from Pitch and Site Rents of £0.158m</w:t>
      </w:r>
    </w:p>
    <w:p w14:paraId="1EDA04E8" w14:textId="36242646" w:rsidR="008172FC" w:rsidRPr="008172FC" w:rsidRDefault="008172FC" w:rsidP="007A7DA6">
      <w:pPr>
        <w:pStyle w:val="ListParagraph"/>
        <w:numPr>
          <w:ilvl w:val="0"/>
          <w:numId w:val="16"/>
        </w:numPr>
      </w:pPr>
      <w:r w:rsidRPr="008172FC">
        <w:t>less unbudgeted business rates spend for which a refund may be obtainable in due course</w:t>
      </w:r>
    </w:p>
    <w:p w14:paraId="7A884AD2" w14:textId="603A334B" w:rsidR="00262D86" w:rsidRPr="008172FC" w:rsidRDefault="00262D86" w:rsidP="007A7DA6">
      <w:pPr>
        <w:pStyle w:val="ListParagraph"/>
        <w:numPr>
          <w:ilvl w:val="0"/>
          <w:numId w:val="14"/>
        </w:numPr>
        <w:ind w:left="1134"/>
      </w:pPr>
      <w:r w:rsidRPr="008172FC">
        <w:rPr>
          <w:b/>
          <w:bCs/>
        </w:rPr>
        <w:t xml:space="preserve">Companies Client </w:t>
      </w:r>
      <w:r w:rsidRPr="008172FC">
        <w:t>- the actual underspend is £2.761m against budget for year-end from the Council’s companies which comprises:</w:t>
      </w:r>
    </w:p>
    <w:p w14:paraId="59AB51A6" w14:textId="4117DF18" w:rsidR="00262D86" w:rsidRPr="008172FC" w:rsidRDefault="00262D86" w:rsidP="007A7DA6">
      <w:pPr>
        <w:pStyle w:val="ListParagraph"/>
        <w:numPr>
          <w:ilvl w:val="0"/>
          <w:numId w:val="17"/>
        </w:numPr>
      </w:pPr>
      <w:r>
        <w:t>An additional £0.925m of dividend income compared to budget</w:t>
      </w:r>
      <w:r w:rsidR="1053FE97">
        <w:t xml:space="preserve"> from ODS due to favourable trading conditions</w:t>
      </w:r>
    </w:p>
    <w:p w14:paraId="1C6834C8" w14:textId="54857A58" w:rsidR="00262D86" w:rsidRPr="008172FC" w:rsidRDefault="00262D86" w:rsidP="007A7DA6">
      <w:pPr>
        <w:pStyle w:val="ListParagraph"/>
        <w:numPr>
          <w:ilvl w:val="0"/>
          <w:numId w:val="17"/>
        </w:numPr>
      </w:pPr>
      <w:r w:rsidRPr="008172FC">
        <w:t xml:space="preserve">Favourable variance of £1.543m in the Parking Management area relating to additional income across all car parks but most notably from </w:t>
      </w:r>
      <w:proofErr w:type="spellStart"/>
      <w:r w:rsidRPr="008172FC">
        <w:t>Oxpens</w:t>
      </w:r>
      <w:proofErr w:type="spellEnd"/>
      <w:r w:rsidRPr="008172FC">
        <w:t xml:space="preserve">, Worcester Street, St Clements </w:t>
      </w:r>
    </w:p>
    <w:p w14:paraId="64BDB093" w14:textId="7F568DB3" w:rsidR="00262D86" w:rsidRPr="008172FC" w:rsidRDefault="00262D86" w:rsidP="007A7DA6">
      <w:pPr>
        <w:pStyle w:val="ListParagraph"/>
        <w:numPr>
          <w:ilvl w:val="0"/>
          <w:numId w:val="17"/>
        </w:numPr>
      </w:pPr>
      <w:r w:rsidRPr="008172FC">
        <w:t>Favourable variance of £</w:t>
      </w:r>
      <w:r w:rsidR="005E5657" w:rsidRPr="008172FC">
        <w:t>0.</w:t>
      </w:r>
      <w:r w:rsidRPr="008172FC">
        <w:t>136</w:t>
      </w:r>
      <w:r w:rsidR="005E5657" w:rsidRPr="008172FC">
        <w:t>m</w:t>
      </w:r>
      <w:r w:rsidRPr="008172FC">
        <w:t xml:space="preserve"> in Street Cleansing area principally arising from £</w:t>
      </w:r>
      <w:r w:rsidR="005E5657" w:rsidRPr="008172FC">
        <w:t>0.0</w:t>
      </w:r>
      <w:r w:rsidRPr="008172FC">
        <w:t>97</w:t>
      </w:r>
      <w:r w:rsidR="005E5657" w:rsidRPr="008172FC">
        <w:t>m</w:t>
      </w:r>
      <w:r w:rsidRPr="008172FC">
        <w:t xml:space="preserve"> lower than budgeted charges from ODS for the provision of statutory services, £</w:t>
      </w:r>
      <w:r w:rsidR="005E5657" w:rsidRPr="008172FC">
        <w:t>0.0</w:t>
      </w:r>
      <w:r w:rsidRPr="008172FC">
        <w:t>30</w:t>
      </w:r>
      <w:r w:rsidR="005E5657" w:rsidRPr="008172FC">
        <w:t>m</w:t>
      </w:r>
      <w:r w:rsidRPr="008172FC">
        <w:t xml:space="preserve"> less than budgeted Council Tax/ Business Rates costs, and a budget for Consultant’s Fees that was not utilised.  </w:t>
      </w:r>
    </w:p>
    <w:p w14:paraId="70593DB8" w14:textId="77777777" w:rsidR="005E5657" w:rsidRPr="008172FC" w:rsidRDefault="005E5657" w:rsidP="007A7DA6">
      <w:pPr>
        <w:pStyle w:val="ListParagraph"/>
        <w:numPr>
          <w:ilvl w:val="0"/>
          <w:numId w:val="14"/>
        </w:numPr>
        <w:ind w:left="1134"/>
      </w:pPr>
      <w:r w:rsidRPr="008172FC">
        <w:rPr>
          <w:b/>
          <w:bCs/>
        </w:rPr>
        <w:t>Financial Services</w:t>
      </w:r>
      <w:r w:rsidRPr="008172FC">
        <w:t xml:space="preserve"> – there is an actual overspend of £1.13m for 2024/25 compared to budget which is mainly attributed to:</w:t>
      </w:r>
    </w:p>
    <w:p w14:paraId="2AA1AB1D" w14:textId="40F3CFB5" w:rsidR="005E5657" w:rsidRPr="008172FC" w:rsidRDefault="005E5657" w:rsidP="007A7DA6">
      <w:pPr>
        <w:pStyle w:val="ListParagraph"/>
        <w:numPr>
          <w:ilvl w:val="0"/>
          <w:numId w:val="18"/>
        </w:numPr>
      </w:pPr>
      <w:r>
        <w:t xml:space="preserve">adverse salary pressures of £0.444m across the service area required for capacity and resilience purposes </w:t>
      </w:r>
      <w:r w:rsidR="28BEC186">
        <w:t xml:space="preserve">with staff vacancies and long term </w:t>
      </w:r>
      <w:r w:rsidR="10E5FD36">
        <w:t>absence</w:t>
      </w:r>
      <w:r w:rsidR="28BEC186">
        <w:t xml:space="preserve"> in key managerial posts </w:t>
      </w:r>
      <w:r>
        <w:t>including</w:t>
      </w:r>
      <w:r w:rsidR="32394655">
        <w:t>:</w:t>
      </w:r>
      <w:r>
        <w:t xml:space="preserve"> Incomes</w:t>
      </w:r>
      <w:r w:rsidR="2FF5CA8D">
        <w:t xml:space="preserve"> Team</w:t>
      </w:r>
      <w:r>
        <w:t xml:space="preserve"> to deal with increased workloads; Procurement and Payments Teams for administration in the run up to the implementation of the Procurement </w:t>
      </w:r>
      <w:proofErr w:type="gramStart"/>
      <w:r>
        <w:t>Act ;</w:t>
      </w:r>
      <w:proofErr w:type="gramEnd"/>
      <w:r>
        <w:t xml:space="preserve"> unbudgeted establishment </w:t>
      </w:r>
      <w:r w:rsidR="437E44A7">
        <w:t xml:space="preserve">charges </w:t>
      </w:r>
      <w:r>
        <w:t xml:space="preserve">in the Change Support Team </w:t>
      </w:r>
    </w:p>
    <w:p w14:paraId="172E4756" w14:textId="4631F1FD" w:rsidR="005E5657" w:rsidRPr="008172FC" w:rsidRDefault="005E5657" w:rsidP="007A7DA6">
      <w:pPr>
        <w:pStyle w:val="ListParagraph"/>
        <w:numPr>
          <w:ilvl w:val="0"/>
          <w:numId w:val="18"/>
        </w:numPr>
      </w:pPr>
      <w:r>
        <w:t>cost pressure of £0.242m from third party services reassessing valuations for business rates collection</w:t>
      </w:r>
      <w:r w:rsidR="4055CBEE">
        <w:t>, most of this cost is recovered from increased business rates income shown elsewhere</w:t>
      </w:r>
    </w:p>
    <w:p w14:paraId="657372E0" w14:textId="721F7C28" w:rsidR="005E5657" w:rsidRPr="008172FC" w:rsidRDefault="005E5657" w:rsidP="007A7DA6">
      <w:pPr>
        <w:pStyle w:val="ListParagraph"/>
        <w:numPr>
          <w:ilvl w:val="0"/>
          <w:numId w:val="18"/>
        </w:numPr>
      </w:pPr>
      <w:r w:rsidRPr="008172FC">
        <w:t>£0.113m unbudgeted bad debt provision where work continues to secure recovery of the debts</w:t>
      </w:r>
    </w:p>
    <w:p w14:paraId="190AE3E7" w14:textId="7F79FDA9" w:rsidR="005E5657" w:rsidRPr="008172FC" w:rsidRDefault="005E5657" w:rsidP="007A7DA6">
      <w:pPr>
        <w:pStyle w:val="ListParagraph"/>
        <w:numPr>
          <w:ilvl w:val="0"/>
          <w:numId w:val="18"/>
        </w:numPr>
      </w:pPr>
      <w:r>
        <w:t>internal audit fees over budget by £0.084m</w:t>
      </w:r>
      <w:r w:rsidR="6110013D">
        <w:t xml:space="preserve"> due to increased unexpected audit work</w:t>
      </w:r>
    </w:p>
    <w:p w14:paraId="51D5D74E" w14:textId="073302CF" w:rsidR="005E5657" w:rsidRPr="008172FC" w:rsidRDefault="604ADF8A" w:rsidP="007A7DA6">
      <w:pPr>
        <w:pStyle w:val="ListParagraph"/>
        <w:numPr>
          <w:ilvl w:val="0"/>
          <w:numId w:val="18"/>
        </w:numPr>
      </w:pPr>
      <w:r>
        <w:t xml:space="preserve">increased </w:t>
      </w:r>
      <w:r w:rsidR="005E5657">
        <w:t>debit &amp; credit card processing fees £0.070m</w:t>
      </w:r>
      <w:r w:rsidR="08DAFE26">
        <w:t xml:space="preserve"> as the council transitions to going cashless</w:t>
      </w:r>
    </w:p>
    <w:p w14:paraId="13B1A2A1" w14:textId="783E144E" w:rsidR="005E5657" w:rsidRPr="008172FC" w:rsidRDefault="005E5657" w:rsidP="007A7DA6">
      <w:pPr>
        <w:pStyle w:val="ListParagraph"/>
        <w:numPr>
          <w:ilvl w:val="0"/>
          <w:numId w:val="18"/>
        </w:numPr>
      </w:pPr>
      <w:r w:rsidRPr="008172FC">
        <w:t>£0.070m cost pressure for printing services being decentralised</w:t>
      </w:r>
    </w:p>
    <w:p w14:paraId="7F8B2B75" w14:textId="1126AD0A" w:rsidR="00326558" w:rsidRPr="008172FC" w:rsidRDefault="005E5657" w:rsidP="005E5657">
      <w:pPr>
        <w:ind w:left="1135"/>
      </w:pPr>
      <w:r w:rsidRPr="008172FC">
        <w:t>Many of these pressures are included within the base budget of the Council’s 2025/26 MTFP or are considered non-recurring.</w:t>
      </w:r>
    </w:p>
    <w:p w14:paraId="3E33554E" w14:textId="7E3306F6" w:rsidR="008E31C9" w:rsidRPr="008172FC" w:rsidRDefault="005E5657" w:rsidP="007A7DA6">
      <w:pPr>
        <w:pStyle w:val="ListParagraph"/>
        <w:numPr>
          <w:ilvl w:val="0"/>
          <w:numId w:val="14"/>
        </w:numPr>
        <w:ind w:left="1134"/>
      </w:pPr>
      <w:r w:rsidRPr="008172FC">
        <w:rPr>
          <w:b/>
          <w:bCs/>
        </w:rPr>
        <w:t xml:space="preserve">People </w:t>
      </w:r>
      <w:r w:rsidRPr="008172FC">
        <w:t>– an actual underspend of £0.166m includes savings of £0.094m related to the reduction in FTE for business partnering resource and apprentice intake being lower than budgeted</w:t>
      </w:r>
    </w:p>
    <w:p w14:paraId="71F13569" w14:textId="161FAB23" w:rsidR="009E5D6E" w:rsidRPr="008172FC" w:rsidRDefault="009E5D6E" w:rsidP="007A7DA6">
      <w:pPr>
        <w:pStyle w:val="ListParagraph"/>
        <w:numPr>
          <w:ilvl w:val="0"/>
          <w:numId w:val="14"/>
        </w:numPr>
        <w:ind w:left="1134"/>
      </w:pPr>
      <w:r w:rsidRPr="008172FC">
        <w:rPr>
          <w:b/>
          <w:bCs/>
        </w:rPr>
        <w:t xml:space="preserve">Corporate Accounts, Service Level Agreements and Contingencies </w:t>
      </w:r>
      <w:r w:rsidRPr="008172FC">
        <w:t xml:space="preserve">– there is an overall adverse variance of £1.297m for 2024/25 which arises from </w:t>
      </w:r>
      <w:proofErr w:type="gramStart"/>
      <w:r w:rsidRPr="008172FC">
        <w:t>a number of</w:t>
      </w:r>
      <w:proofErr w:type="gramEnd"/>
      <w:r w:rsidRPr="008172FC">
        <w:t xml:space="preserve"> variances including:</w:t>
      </w:r>
    </w:p>
    <w:p w14:paraId="4D9AE538" w14:textId="7B6E04CA" w:rsidR="009E5D6E" w:rsidRPr="008172FC" w:rsidRDefault="009E5D6E" w:rsidP="00F33A7B">
      <w:pPr>
        <w:pStyle w:val="ListParagraph"/>
        <w:numPr>
          <w:ilvl w:val="0"/>
          <w:numId w:val="21"/>
        </w:numPr>
      </w:pPr>
      <w:r w:rsidRPr="008172FC">
        <w:rPr>
          <w:b/>
          <w:bCs/>
        </w:rPr>
        <w:lastRenderedPageBreak/>
        <w:t>Net cost of housing benefit payments</w:t>
      </w:r>
      <w:r w:rsidRPr="008172FC">
        <w:t xml:space="preserve"> – the adverse variance of £1.491m for 2024/25 is the overspend on costs related to benefit paid to non-registered provider organisations in respect of supported accommodation. The number of such providers in the city is limited and the service is commissioned largely by bodies outside the City Council i.e. NHS/ Oxfordshire County Council and other District Councils. Whilst the Council will try to mitigate this issue, the extent to which it can do so is limited. There will be an increased impact from 1 April 2025 </w:t>
      </w:r>
      <w:proofErr w:type="gramStart"/>
      <w:r w:rsidRPr="008172FC">
        <w:t>as a result of</w:t>
      </w:r>
      <w:proofErr w:type="gramEnd"/>
      <w:r w:rsidRPr="008172FC">
        <w:t xml:space="preserve"> working age housing benefit claimants being transferred to Universal Credit. </w:t>
      </w:r>
      <w:r w:rsidR="00D17FFA">
        <w:t>Scrutiny has received a detailed briefing on the City Council’s actions to address this matter, although it remains largely outside our control.</w:t>
      </w:r>
    </w:p>
    <w:p w14:paraId="34C63EF0" w14:textId="281451EE" w:rsidR="009E5D6E" w:rsidRPr="008172FC" w:rsidRDefault="009E5D6E" w:rsidP="00F33A7B">
      <w:pPr>
        <w:pStyle w:val="ListParagraph"/>
        <w:numPr>
          <w:ilvl w:val="0"/>
          <w:numId w:val="14"/>
        </w:numPr>
      </w:pPr>
      <w:r w:rsidRPr="008172FC">
        <w:rPr>
          <w:b/>
          <w:bCs/>
        </w:rPr>
        <w:t xml:space="preserve">Interest Payable, Interest Receivable and Investment Income </w:t>
      </w:r>
      <w:r w:rsidRPr="008172FC">
        <w:t>– a net £0.358m favourable year-end position due to:</w:t>
      </w:r>
    </w:p>
    <w:p w14:paraId="34695EBF" w14:textId="1568F028" w:rsidR="009E5D6E" w:rsidRPr="008172FC" w:rsidRDefault="009E5D6E" w:rsidP="00F33A7B">
      <w:pPr>
        <w:pStyle w:val="ListParagraph"/>
        <w:numPr>
          <w:ilvl w:val="0"/>
          <w:numId w:val="18"/>
        </w:numPr>
        <w:ind w:left="1856"/>
      </w:pPr>
      <w:r>
        <w:t xml:space="preserve">Lower anticipated general fund borrowing costs </w:t>
      </w:r>
      <w:r w:rsidR="37C9D80A">
        <w:t xml:space="preserve">circa £30 million </w:t>
      </w:r>
      <w:r>
        <w:t xml:space="preserve">than anticipated </w:t>
      </w:r>
      <w:proofErr w:type="gramStart"/>
      <w:r>
        <w:t>as a result of</w:t>
      </w:r>
      <w:proofErr w:type="gramEnd"/>
      <w:r>
        <w:t xml:space="preserve"> slippages in the capital programme</w:t>
      </w:r>
    </w:p>
    <w:p w14:paraId="49648BE5" w14:textId="77777777" w:rsidR="009E5D6E" w:rsidRPr="008172FC" w:rsidRDefault="009E5D6E" w:rsidP="00F33A7B">
      <w:pPr>
        <w:pStyle w:val="ListParagraph"/>
        <w:numPr>
          <w:ilvl w:val="0"/>
          <w:numId w:val="18"/>
        </w:numPr>
        <w:ind w:left="1856"/>
      </w:pPr>
      <w:r w:rsidRPr="008172FC">
        <w:t xml:space="preserve">Lower interest income from companies than anticipated, largely </w:t>
      </w:r>
      <w:proofErr w:type="gramStart"/>
      <w:r w:rsidRPr="008172FC">
        <w:t>as a result of</w:t>
      </w:r>
      <w:proofErr w:type="gramEnd"/>
      <w:r w:rsidRPr="008172FC">
        <w:t xml:space="preserve"> the redemption of housing investment company loans during the year</w:t>
      </w:r>
    </w:p>
    <w:p w14:paraId="3157A71C" w14:textId="77777777" w:rsidR="009E5D6E" w:rsidRPr="008172FC" w:rsidRDefault="009E5D6E" w:rsidP="00F33A7B">
      <w:pPr>
        <w:pStyle w:val="ListParagraph"/>
        <w:numPr>
          <w:ilvl w:val="0"/>
          <w:numId w:val="18"/>
        </w:numPr>
        <w:ind w:left="1856"/>
      </w:pPr>
      <w:r w:rsidRPr="008172FC">
        <w:t>Income from HRA internal borrowing related to HRA capital programme prudential borrowing finance. The Council is currently maximising the use of internal cash balances before borrowing externally</w:t>
      </w:r>
    </w:p>
    <w:p w14:paraId="6874A344" w14:textId="651E0D2C" w:rsidR="008D5B32" w:rsidRPr="00240FF5" w:rsidRDefault="094D16CC" w:rsidP="14BF4969">
      <w:pPr>
        <w:pStyle w:val="Heading1"/>
        <w:rPr>
          <w:color w:val="auto"/>
        </w:rPr>
      </w:pPr>
      <w:r w:rsidRPr="14BF4969">
        <w:rPr>
          <w:rFonts w:eastAsia="Calibri"/>
          <w:color w:val="auto"/>
        </w:rPr>
        <w:t>Housing Revenue Account</w:t>
      </w:r>
      <w:r w:rsidR="0743051B" w:rsidRPr="14BF4969">
        <w:rPr>
          <w:rFonts w:eastAsia="Calibri"/>
          <w:color w:val="auto"/>
        </w:rPr>
        <w:t xml:space="preserve"> (“the HRA”)</w:t>
      </w:r>
    </w:p>
    <w:p w14:paraId="45281762" w14:textId="08B592D6" w:rsidR="00C769C7" w:rsidRPr="00A302D1" w:rsidRDefault="0743051B" w:rsidP="00BC1A47">
      <w:pPr>
        <w:pStyle w:val="ListParagraph"/>
        <w:numPr>
          <w:ilvl w:val="0"/>
          <w:numId w:val="5"/>
        </w:numPr>
        <w:ind w:hanging="502"/>
        <w:rPr>
          <w:color w:val="auto"/>
          <w:sz w:val="22"/>
          <w:szCs w:val="22"/>
        </w:rPr>
      </w:pPr>
      <w:r w:rsidRPr="00A302D1">
        <w:rPr>
          <w:rFonts w:cs="Arial"/>
          <w:color w:val="auto"/>
        </w:rPr>
        <w:t xml:space="preserve">HRA </w:t>
      </w:r>
      <w:r w:rsidR="2D646392" w:rsidRPr="00A302D1">
        <w:rPr>
          <w:rFonts w:cs="Arial"/>
          <w:color w:val="auto"/>
        </w:rPr>
        <w:t xml:space="preserve">budgeted </w:t>
      </w:r>
      <w:r w:rsidR="007A5620" w:rsidRPr="00A302D1">
        <w:rPr>
          <w:rFonts w:cs="Arial"/>
          <w:color w:val="auto"/>
        </w:rPr>
        <w:t>deficit</w:t>
      </w:r>
      <w:r w:rsidR="2D646392" w:rsidRPr="00A302D1">
        <w:rPr>
          <w:rFonts w:cs="Arial"/>
          <w:color w:val="auto"/>
        </w:rPr>
        <w:t xml:space="preserve"> agreed</w:t>
      </w:r>
      <w:r w:rsidR="421DB164" w:rsidRPr="00A302D1">
        <w:rPr>
          <w:rFonts w:cs="Arial"/>
          <w:color w:val="auto"/>
        </w:rPr>
        <w:t xml:space="preserve"> by the Council in February 202</w:t>
      </w:r>
      <w:r w:rsidR="57765BED" w:rsidRPr="00A302D1">
        <w:rPr>
          <w:rFonts w:cs="Arial"/>
          <w:color w:val="auto"/>
        </w:rPr>
        <w:t>4</w:t>
      </w:r>
      <w:r w:rsidR="2D646392" w:rsidRPr="00A302D1">
        <w:rPr>
          <w:rFonts w:cs="Arial"/>
          <w:color w:val="auto"/>
        </w:rPr>
        <w:t xml:space="preserve"> </w:t>
      </w:r>
      <w:r w:rsidR="00832F91" w:rsidRPr="00A302D1">
        <w:rPr>
          <w:rFonts w:cs="Arial"/>
          <w:color w:val="auto"/>
        </w:rPr>
        <w:t xml:space="preserve">for </w:t>
      </w:r>
      <w:r w:rsidR="00864FAA" w:rsidRPr="00A302D1">
        <w:rPr>
          <w:rFonts w:cs="Arial"/>
          <w:color w:val="auto"/>
        </w:rPr>
        <w:t>20</w:t>
      </w:r>
      <w:r w:rsidR="00832F91" w:rsidRPr="00A302D1">
        <w:rPr>
          <w:rFonts w:cs="Arial"/>
          <w:color w:val="auto"/>
        </w:rPr>
        <w:t xml:space="preserve">24/25 </w:t>
      </w:r>
      <w:r w:rsidR="2D646392" w:rsidRPr="00A302D1">
        <w:rPr>
          <w:rFonts w:cs="Arial"/>
          <w:color w:val="auto"/>
        </w:rPr>
        <w:t>was £</w:t>
      </w:r>
      <w:r w:rsidR="57765BED" w:rsidRPr="00A302D1">
        <w:rPr>
          <w:rFonts w:cs="Arial"/>
          <w:color w:val="auto"/>
        </w:rPr>
        <w:t>6.482</w:t>
      </w:r>
      <w:r w:rsidR="008F2FDD" w:rsidRPr="00A302D1">
        <w:rPr>
          <w:rFonts w:cs="Arial"/>
          <w:color w:val="auto"/>
        </w:rPr>
        <w:t>m</w:t>
      </w:r>
      <w:r w:rsidR="00832F91" w:rsidRPr="00A302D1">
        <w:rPr>
          <w:rFonts w:cs="Arial"/>
          <w:color w:val="auto"/>
        </w:rPr>
        <w:t xml:space="preserve"> after a revenue contribution to fund capital of £12.367m</w:t>
      </w:r>
      <w:r w:rsidR="2D646392" w:rsidRPr="00A302D1">
        <w:rPr>
          <w:rFonts w:cs="Arial"/>
          <w:color w:val="auto"/>
        </w:rPr>
        <w:t xml:space="preserve">. </w:t>
      </w:r>
      <w:r w:rsidR="71D214C1" w:rsidRPr="00A302D1">
        <w:rPr>
          <w:rFonts w:cs="Arial"/>
          <w:color w:val="auto"/>
        </w:rPr>
        <w:t>The</w:t>
      </w:r>
      <w:r w:rsidR="00C769C7" w:rsidRPr="00A302D1">
        <w:rPr>
          <w:rFonts w:cs="Arial"/>
          <w:color w:val="auto"/>
        </w:rPr>
        <w:t xml:space="preserve"> 2024/25</w:t>
      </w:r>
      <w:r w:rsidR="71D214C1" w:rsidRPr="00A302D1">
        <w:rPr>
          <w:rFonts w:cs="Arial"/>
          <w:color w:val="auto"/>
        </w:rPr>
        <w:t xml:space="preserve"> outturn </w:t>
      </w:r>
      <w:r w:rsidR="00C769C7" w:rsidRPr="00A302D1">
        <w:rPr>
          <w:rFonts w:cs="Arial"/>
          <w:color w:val="auto"/>
        </w:rPr>
        <w:t xml:space="preserve">is a surplus of </w:t>
      </w:r>
      <w:r w:rsidR="71D214C1" w:rsidRPr="00A302D1">
        <w:rPr>
          <w:rFonts w:cs="Arial"/>
          <w:color w:val="auto"/>
        </w:rPr>
        <w:t>£</w:t>
      </w:r>
      <w:r w:rsidR="00C769C7" w:rsidRPr="00A302D1">
        <w:rPr>
          <w:rFonts w:cs="Arial"/>
          <w:color w:val="auto"/>
        </w:rPr>
        <w:t>2.921m</w:t>
      </w:r>
      <w:r w:rsidR="589B1F36" w:rsidRPr="00A302D1">
        <w:rPr>
          <w:rFonts w:cs="Arial"/>
          <w:color w:val="auto"/>
        </w:rPr>
        <w:t xml:space="preserve"> </w:t>
      </w:r>
      <w:r w:rsidR="00C769C7" w:rsidRPr="00A302D1">
        <w:rPr>
          <w:rFonts w:cs="Arial"/>
          <w:color w:val="auto"/>
        </w:rPr>
        <w:t>after a reduced revenue contribution of £3.677m to capital</w:t>
      </w:r>
      <w:r w:rsidR="001675B7" w:rsidRPr="00A302D1">
        <w:rPr>
          <w:rFonts w:cs="Arial"/>
          <w:color w:val="auto"/>
        </w:rPr>
        <w:t xml:space="preserve">, which has experienced slippage in the programme as detailed in </w:t>
      </w:r>
      <w:r w:rsidR="7E7AEC8B" w:rsidRPr="00A302D1">
        <w:rPr>
          <w:rFonts w:cs="Arial"/>
          <w:color w:val="auto"/>
        </w:rPr>
        <w:t xml:space="preserve">paragraph </w:t>
      </w:r>
      <w:r w:rsidR="00EA069A" w:rsidRPr="00A302D1">
        <w:rPr>
          <w:rFonts w:cs="Arial"/>
          <w:color w:val="auto"/>
        </w:rPr>
        <w:t>1</w:t>
      </w:r>
      <w:r w:rsidR="00A77283" w:rsidRPr="00A302D1">
        <w:rPr>
          <w:rFonts w:cs="Arial"/>
          <w:color w:val="auto"/>
        </w:rPr>
        <w:t>6</w:t>
      </w:r>
      <w:r w:rsidR="00C769C7" w:rsidRPr="00A302D1">
        <w:rPr>
          <w:rFonts w:cs="Arial"/>
          <w:color w:val="auto"/>
        </w:rPr>
        <w:t>. The total favourable variance to budget of</w:t>
      </w:r>
      <w:r w:rsidR="570BF13B" w:rsidRPr="00A302D1">
        <w:rPr>
          <w:rFonts w:cs="Arial"/>
          <w:color w:val="auto"/>
        </w:rPr>
        <w:t xml:space="preserve"> </w:t>
      </w:r>
      <w:r w:rsidR="00C769C7" w:rsidRPr="00A302D1">
        <w:rPr>
          <w:rFonts w:cs="Arial"/>
          <w:color w:val="auto"/>
        </w:rPr>
        <w:t>£9.4</w:t>
      </w:r>
      <w:r w:rsidR="00C7790B" w:rsidRPr="00A302D1">
        <w:rPr>
          <w:rFonts w:cs="Arial"/>
          <w:color w:val="auto"/>
        </w:rPr>
        <w:t>03</w:t>
      </w:r>
      <w:r w:rsidR="00C769C7" w:rsidRPr="00A302D1">
        <w:rPr>
          <w:rFonts w:cs="Arial"/>
          <w:color w:val="auto"/>
        </w:rPr>
        <w:t xml:space="preserve">m is mostly due to a change in the mix of appropriations for which there is a favourable variance of £12.6m compared to budget, including </w:t>
      </w:r>
      <w:r w:rsidR="00C7790B" w:rsidRPr="00A302D1">
        <w:rPr>
          <w:rFonts w:cs="Arial"/>
          <w:color w:val="auto"/>
        </w:rPr>
        <w:t>the</w:t>
      </w:r>
      <w:r w:rsidR="00C769C7" w:rsidRPr="00A302D1">
        <w:rPr>
          <w:rFonts w:cs="Arial"/>
          <w:color w:val="auto"/>
        </w:rPr>
        <w:t xml:space="preserve"> lower than budgeted revenue contribution to capital by £8.69m and </w:t>
      </w:r>
      <w:r w:rsidR="00C7790B" w:rsidRPr="00A302D1">
        <w:rPr>
          <w:rFonts w:cs="Arial"/>
          <w:color w:val="auto"/>
        </w:rPr>
        <w:t xml:space="preserve">a </w:t>
      </w:r>
      <w:r w:rsidR="00C769C7" w:rsidRPr="00A302D1">
        <w:rPr>
          <w:rFonts w:cs="Arial"/>
          <w:color w:val="auto"/>
        </w:rPr>
        <w:t>£6.88m gain on the sale of fixed assets; this is offset by a net operating pressure of £</w:t>
      </w:r>
      <w:r w:rsidR="00C7790B" w:rsidRPr="00A302D1">
        <w:rPr>
          <w:rFonts w:cs="Arial"/>
          <w:color w:val="auto"/>
        </w:rPr>
        <w:t>3.249</w:t>
      </w:r>
      <w:r w:rsidR="00C769C7" w:rsidRPr="00A302D1">
        <w:rPr>
          <w:rFonts w:cs="Arial"/>
          <w:color w:val="auto"/>
        </w:rPr>
        <w:t>m.</w:t>
      </w:r>
    </w:p>
    <w:p w14:paraId="69AF5EB9" w14:textId="29A70EF4" w:rsidR="00204936" w:rsidRPr="00A302D1" w:rsidRDefault="39AF6AEC" w:rsidP="00C769C7">
      <w:pPr>
        <w:ind w:left="786"/>
        <w:rPr>
          <w:color w:val="auto"/>
          <w:sz w:val="22"/>
          <w:szCs w:val="22"/>
        </w:rPr>
      </w:pPr>
      <w:r w:rsidRPr="00A302D1">
        <w:rPr>
          <w:rFonts w:cs="Arial"/>
          <w:color w:val="auto"/>
        </w:rPr>
        <w:t>Reasons for the variation</w:t>
      </w:r>
      <w:r w:rsidR="00C7790B" w:rsidRPr="00A302D1">
        <w:rPr>
          <w:rFonts w:cs="Arial"/>
          <w:color w:val="auto"/>
        </w:rPr>
        <w:t xml:space="preserve"> to budget </w:t>
      </w:r>
      <w:r w:rsidRPr="00A302D1">
        <w:rPr>
          <w:rFonts w:cs="Arial"/>
          <w:color w:val="auto"/>
        </w:rPr>
        <w:t>include:</w:t>
      </w:r>
    </w:p>
    <w:p w14:paraId="092DEF05" w14:textId="77777777" w:rsidR="00E77C96" w:rsidRPr="00A302D1" w:rsidRDefault="39AF6AEC" w:rsidP="00E77C96">
      <w:pPr>
        <w:ind w:left="786"/>
        <w:rPr>
          <w:rFonts w:cs="Arial"/>
          <w:b/>
          <w:bCs/>
          <w:color w:val="auto"/>
        </w:rPr>
      </w:pPr>
      <w:r w:rsidRPr="00A302D1">
        <w:rPr>
          <w:rFonts w:cs="Arial"/>
          <w:b/>
          <w:bCs/>
          <w:color w:val="auto"/>
        </w:rPr>
        <w:t>Income</w:t>
      </w:r>
    </w:p>
    <w:p w14:paraId="3A96A99A" w14:textId="2DC14BA5" w:rsidR="00C7790B" w:rsidRPr="00A302D1" w:rsidRDefault="00C7790B" w:rsidP="00E77C96">
      <w:pPr>
        <w:ind w:left="786"/>
        <w:rPr>
          <w:rFonts w:cs="Arial"/>
          <w:color w:val="auto"/>
        </w:rPr>
      </w:pPr>
      <w:r w:rsidRPr="00A302D1">
        <w:rPr>
          <w:rFonts w:cs="Arial"/>
          <w:color w:val="auto"/>
        </w:rPr>
        <w:t>2024/25 actual income of £58.6m is higher than budget by £1.426m. This is due to:</w:t>
      </w:r>
    </w:p>
    <w:p w14:paraId="40F53F75" w14:textId="3949B8D9" w:rsidR="00C7790B" w:rsidRPr="00A302D1" w:rsidRDefault="00C7790B" w:rsidP="007A7DA6">
      <w:pPr>
        <w:pStyle w:val="ListParagraph"/>
        <w:numPr>
          <w:ilvl w:val="2"/>
          <w:numId w:val="6"/>
        </w:numPr>
        <w:ind w:left="1276" w:hanging="420"/>
        <w:rPr>
          <w:color w:val="auto"/>
        </w:rPr>
      </w:pPr>
      <w:r w:rsidRPr="6EEBB0F3">
        <w:rPr>
          <w:b/>
          <w:bCs/>
          <w:color w:val="auto"/>
        </w:rPr>
        <w:t>Dwelling Rent</w:t>
      </w:r>
      <w:r w:rsidRPr="6EEBB0F3">
        <w:rPr>
          <w:color w:val="auto"/>
        </w:rPr>
        <w:t xml:space="preserve"> exceeding the budget by £0.671m, due to the transfer of OX Place properties</w:t>
      </w:r>
      <w:r w:rsidR="28F01CF0" w:rsidRPr="6EEBB0F3">
        <w:rPr>
          <w:color w:val="auto"/>
        </w:rPr>
        <w:t xml:space="preserve"> into the HRA </w:t>
      </w:r>
      <w:proofErr w:type="gramStart"/>
      <w:r w:rsidR="28F01CF0" w:rsidRPr="6EEBB0F3">
        <w:rPr>
          <w:color w:val="auto"/>
        </w:rPr>
        <w:t xml:space="preserve">and </w:t>
      </w:r>
      <w:r w:rsidR="5081BF57" w:rsidRPr="6EEBB0F3">
        <w:rPr>
          <w:color w:val="auto"/>
        </w:rPr>
        <w:t>a</w:t>
      </w:r>
      <w:r w:rsidRPr="6EEBB0F3">
        <w:rPr>
          <w:color w:val="auto"/>
        </w:rPr>
        <w:t>lso</w:t>
      </w:r>
      <w:proofErr w:type="gramEnd"/>
      <w:r w:rsidRPr="6EEBB0F3">
        <w:rPr>
          <w:color w:val="auto"/>
        </w:rPr>
        <w:t>, since the budget was set, 428 properties have been re-let and moved to formula rent.</w:t>
      </w:r>
    </w:p>
    <w:p w14:paraId="1B903310" w14:textId="3FD5F3AD" w:rsidR="00C7790B" w:rsidRPr="00A302D1" w:rsidRDefault="00E019AC" w:rsidP="007A7DA6">
      <w:pPr>
        <w:pStyle w:val="ListParagraph"/>
        <w:numPr>
          <w:ilvl w:val="2"/>
          <w:numId w:val="6"/>
        </w:numPr>
        <w:ind w:left="1276" w:hanging="420"/>
        <w:rPr>
          <w:color w:val="auto"/>
        </w:rPr>
      </w:pPr>
      <w:r w:rsidRPr="00A302D1">
        <w:rPr>
          <w:b/>
          <w:bCs/>
          <w:color w:val="auto"/>
        </w:rPr>
        <w:t>Service Charges</w:t>
      </w:r>
      <w:r w:rsidRPr="00A302D1">
        <w:rPr>
          <w:color w:val="auto"/>
        </w:rPr>
        <w:t xml:space="preserve"> - a</w:t>
      </w:r>
      <w:r w:rsidR="00C7790B" w:rsidRPr="00A302D1">
        <w:rPr>
          <w:color w:val="auto"/>
        </w:rPr>
        <w:t>n increase of £0.276m: additional income from Leaseholders; unbudgeted £0.097m Major Works; £0.054m based on actual bills compared to estimated charges; plus, additional income from OX Place transfer properties.</w:t>
      </w:r>
    </w:p>
    <w:p w14:paraId="0603B233" w14:textId="5AC1E90B" w:rsidR="00C7790B" w:rsidRPr="00A302D1" w:rsidRDefault="00E019AC" w:rsidP="007A7DA6">
      <w:pPr>
        <w:pStyle w:val="ListParagraph"/>
        <w:numPr>
          <w:ilvl w:val="2"/>
          <w:numId w:val="6"/>
        </w:numPr>
        <w:ind w:left="1276" w:hanging="420"/>
        <w:rPr>
          <w:color w:val="auto"/>
        </w:rPr>
      </w:pPr>
      <w:r w:rsidRPr="00A302D1">
        <w:rPr>
          <w:b/>
          <w:bCs/>
          <w:color w:val="auto"/>
        </w:rPr>
        <w:t>Garages income</w:t>
      </w:r>
      <w:r w:rsidRPr="00A302D1">
        <w:rPr>
          <w:color w:val="auto"/>
        </w:rPr>
        <w:t xml:space="preserve"> - a</w:t>
      </w:r>
      <w:r w:rsidR="00C7790B" w:rsidRPr="00A302D1">
        <w:rPr>
          <w:color w:val="auto"/>
        </w:rPr>
        <w:t>n increase of £0.070m.</w:t>
      </w:r>
    </w:p>
    <w:p w14:paraId="56D809A5" w14:textId="10D9668A" w:rsidR="00C7790B" w:rsidRPr="00A302D1" w:rsidRDefault="00E019AC" w:rsidP="007A7DA6">
      <w:pPr>
        <w:pStyle w:val="ListParagraph"/>
        <w:numPr>
          <w:ilvl w:val="2"/>
          <w:numId w:val="6"/>
        </w:numPr>
        <w:ind w:left="1276" w:hanging="420"/>
        <w:rPr>
          <w:color w:val="auto"/>
        </w:rPr>
      </w:pPr>
      <w:r w:rsidRPr="00A302D1">
        <w:rPr>
          <w:b/>
          <w:bCs/>
          <w:color w:val="auto"/>
        </w:rPr>
        <w:lastRenderedPageBreak/>
        <w:t>Misc Income</w:t>
      </w:r>
      <w:r w:rsidRPr="00A302D1">
        <w:rPr>
          <w:color w:val="auto"/>
        </w:rPr>
        <w:t xml:space="preserve"> - a</w:t>
      </w:r>
      <w:r w:rsidR="00C7790B" w:rsidRPr="00A302D1">
        <w:rPr>
          <w:color w:val="auto"/>
        </w:rPr>
        <w:t>n increase of £0.378m from: Furnished Tenancies £0.150m; Leased properties £0.200m and some grant funding for Tenant Satisfaction Measures New Burdens Payments.</w:t>
      </w:r>
    </w:p>
    <w:p w14:paraId="0FF9D22A" w14:textId="77777777" w:rsidR="00F33A7B" w:rsidRDefault="00F33A7B" w:rsidP="00E019AC">
      <w:pPr>
        <w:ind w:left="856"/>
        <w:rPr>
          <w:b/>
          <w:bCs/>
          <w:color w:val="auto"/>
        </w:rPr>
      </w:pPr>
    </w:p>
    <w:p w14:paraId="42F69F52" w14:textId="3E52F7D1" w:rsidR="00E019AC" w:rsidRPr="00A302D1" w:rsidRDefault="00E019AC" w:rsidP="00E019AC">
      <w:pPr>
        <w:ind w:left="856"/>
        <w:rPr>
          <w:b/>
          <w:bCs/>
          <w:color w:val="auto"/>
        </w:rPr>
      </w:pPr>
      <w:r w:rsidRPr="00A302D1">
        <w:rPr>
          <w:b/>
          <w:bCs/>
          <w:color w:val="auto"/>
        </w:rPr>
        <w:t>Expenditure</w:t>
      </w:r>
    </w:p>
    <w:p w14:paraId="354FA1B6" w14:textId="4F0A380D" w:rsidR="00E019AC" w:rsidRPr="00A302D1" w:rsidRDefault="00E019AC" w:rsidP="00E019AC">
      <w:pPr>
        <w:ind w:left="856"/>
        <w:rPr>
          <w:color w:val="auto"/>
        </w:rPr>
      </w:pPr>
      <w:r w:rsidRPr="00A302D1">
        <w:rPr>
          <w:color w:val="auto"/>
        </w:rPr>
        <w:t>2024/25 actual expenditure of £55.</w:t>
      </w:r>
      <w:r w:rsidR="00416BFA" w:rsidRPr="00A302D1">
        <w:rPr>
          <w:color w:val="auto"/>
        </w:rPr>
        <w:t>836</w:t>
      </w:r>
      <w:r w:rsidRPr="00A302D1">
        <w:rPr>
          <w:color w:val="auto"/>
        </w:rPr>
        <w:t>m is higher than budget by £</w:t>
      </w:r>
      <w:r w:rsidR="00416BFA" w:rsidRPr="00A302D1">
        <w:rPr>
          <w:color w:val="auto"/>
        </w:rPr>
        <w:t>4.676</w:t>
      </w:r>
      <w:r w:rsidRPr="00A302D1">
        <w:rPr>
          <w:color w:val="auto"/>
        </w:rPr>
        <w:t>m. This is attributed to:</w:t>
      </w:r>
    </w:p>
    <w:p w14:paraId="280FE678" w14:textId="25EA9A6E" w:rsidR="00E019AC" w:rsidRPr="00A302D1" w:rsidRDefault="00E019AC" w:rsidP="007A7DA6">
      <w:pPr>
        <w:pStyle w:val="ListParagraph"/>
        <w:numPr>
          <w:ilvl w:val="0"/>
          <w:numId w:val="6"/>
        </w:numPr>
        <w:ind w:left="1276"/>
        <w:rPr>
          <w:color w:val="auto"/>
        </w:rPr>
      </w:pPr>
      <w:r w:rsidRPr="00A302D1">
        <w:rPr>
          <w:b/>
          <w:bCs/>
          <w:color w:val="auto"/>
        </w:rPr>
        <w:t>Management and Services (Stock Related)</w:t>
      </w:r>
      <w:r w:rsidR="39AF6AEC" w:rsidRPr="00A302D1">
        <w:rPr>
          <w:color w:val="auto"/>
        </w:rPr>
        <w:t xml:space="preserve"> – </w:t>
      </w:r>
      <w:r w:rsidRPr="00A302D1">
        <w:rPr>
          <w:color w:val="auto"/>
        </w:rPr>
        <w:t>the 2024/25 outturn is an underspend of £1.528m compared to the Latest Budget 2024/25 due to the following:</w:t>
      </w:r>
    </w:p>
    <w:p w14:paraId="05095AAC" w14:textId="671B2E9C" w:rsidR="00E019AC" w:rsidRPr="00A302D1" w:rsidRDefault="00E019AC" w:rsidP="007A7DA6">
      <w:pPr>
        <w:pStyle w:val="ListParagraph"/>
        <w:numPr>
          <w:ilvl w:val="0"/>
          <w:numId w:val="10"/>
        </w:numPr>
        <w:ind w:left="1701"/>
        <w:rPr>
          <w:color w:val="auto"/>
        </w:rPr>
      </w:pPr>
      <w:r w:rsidRPr="00A302D1">
        <w:rPr>
          <w:b/>
          <w:bCs/>
          <w:color w:val="auto"/>
        </w:rPr>
        <w:t>Salaries</w:t>
      </w:r>
      <w:r w:rsidRPr="00A302D1">
        <w:rPr>
          <w:color w:val="auto"/>
        </w:rPr>
        <w:t xml:space="preserve"> - Savings of £1.188m, namely from Landlord Services, new budget bid of £0.862m added in, new posts to be filled and some existing vacant posts from prior year, recruitment on hold pending Landlord Services Transformation.</w:t>
      </w:r>
    </w:p>
    <w:p w14:paraId="52E81A20" w14:textId="5DC47E43" w:rsidR="00E019AC" w:rsidRPr="00A302D1" w:rsidRDefault="00E019AC" w:rsidP="007A7DA6">
      <w:pPr>
        <w:pStyle w:val="ListParagraph"/>
        <w:numPr>
          <w:ilvl w:val="0"/>
          <w:numId w:val="11"/>
        </w:numPr>
        <w:ind w:left="1560"/>
        <w:rPr>
          <w:color w:val="auto"/>
        </w:rPr>
      </w:pPr>
      <w:r w:rsidRPr="00A302D1">
        <w:rPr>
          <w:b/>
          <w:bCs/>
          <w:color w:val="auto"/>
        </w:rPr>
        <w:t>Utilities</w:t>
      </w:r>
      <w:r w:rsidRPr="00A302D1">
        <w:rPr>
          <w:color w:val="auto"/>
        </w:rPr>
        <w:t xml:space="preserve"> - a saving of £0.679m, which is due to several credits paid back to us relating to previous years, a total refund of approximately £0.300</w:t>
      </w:r>
      <w:proofErr w:type="gramStart"/>
      <w:r w:rsidRPr="00A302D1">
        <w:rPr>
          <w:color w:val="auto"/>
        </w:rPr>
        <w:t>m  to</w:t>
      </w:r>
      <w:proofErr w:type="gramEnd"/>
      <w:r w:rsidRPr="00A302D1">
        <w:rPr>
          <w:color w:val="auto"/>
        </w:rPr>
        <w:t xml:space="preserve"> date.</w:t>
      </w:r>
    </w:p>
    <w:p w14:paraId="2D3F2CD2" w14:textId="3E861F84" w:rsidR="00E019AC" w:rsidRPr="00A302D1" w:rsidRDefault="00E019AC" w:rsidP="007A7DA6">
      <w:pPr>
        <w:pStyle w:val="ListParagraph"/>
        <w:numPr>
          <w:ilvl w:val="0"/>
          <w:numId w:val="11"/>
        </w:numPr>
        <w:ind w:left="1560"/>
        <w:rPr>
          <w:color w:val="auto"/>
        </w:rPr>
      </w:pPr>
      <w:r w:rsidRPr="00A302D1">
        <w:rPr>
          <w:b/>
          <w:bCs/>
          <w:color w:val="auto"/>
        </w:rPr>
        <w:t>Council Tax</w:t>
      </w:r>
      <w:r w:rsidRPr="00A302D1">
        <w:rPr>
          <w:color w:val="auto"/>
        </w:rPr>
        <w:t xml:space="preserve"> - an overspend of £0.200m on Council tax payments on void properties.</w:t>
      </w:r>
    </w:p>
    <w:p w14:paraId="6BA73D0B" w14:textId="54191A6F" w:rsidR="00E019AC" w:rsidRPr="00A302D1" w:rsidRDefault="00E019AC" w:rsidP="007A7DA6">
      <w:pPr>
        <w:pStyle w:val="ListParagraph"/>
        <w:numPr>
          <w:ilvl w:val="0"/>
          <w:numId w:val="11"/>
        </w:numPr>
        <w:ind w:left="1560"/>
        <w:rPr>
          <w:color w:val="auto"/>
        </w:rPr>
      </w:pPr>
      <w:r w:rsidRPr="00A302D1">
        <w:rPr>
          <w:b/>
          <w:bCs/>
          <w:color w:val="auto"/>
        </w:rPr>
        <w:t xml:space="preserve">Furnished Tenancy </w:t>
      </w:r>
      <w:proofErr w:type="gramStart"/>
      <w:r w:rsidRPr="00A302D1">
        <w:rPr>
          <w:b/>
          <w:bCs/>
          <w:color w:val="auto"/>
        </w:rPr>
        <w:t>scheme</w:t>
      </w:r>
      <w:r w:rsidRPr="00A302D1">
        <w:rPr>
          <w:color w:val="auto"/>
        </w:rPr>
        <w:t xml:space="preserve">  -</w:t>
      </w:r>
      <w:proofErr w:type="gramEnd"/>
      <w:r w:rsidRPr="00A302D1">
        <w:rPr>
          <w:color w:val="auto"/>
        </w:rPr>
        <w:t xml:space="preserve"> an overspend of £0.081m on furniture purchases.</w:t>
      </w:r>
    </w:p>
    <w:p w14:paraId="09DDB726" w14:textId="278C8570" w:rsidR="00E019AC" w:rsidRPr="00A302D1" w:rsidRDefault="00E019AC" w:rsidP="007A7DA6">
      <w:pPr>
        <w:pStyle w:val="ListParagraph"/>
        <w:numPr>
          <w:ilvl w:val="0"/>
          <w:numId w:val="11"/>
        </w:numPr>
        <w:ind w:left="1560"/>
        <w:rPr>
          <w:color w:val="auto"/>
        </w:rPr>
      </w:pPr>
      <w:r w:rsidRPr="00A302D1">
        <w:rPr>
          <w:b/>
          <w:bCs/>
          <w:color w:val="auto"/>
        </w:rPr>
        <w:t>Supplies and Services</w:t>
      </w:r>
      <w:r w:rsidRPr="00A302D1">
        <w:rPr>
          <w:color w:val="auto"/>
        </w:rPr>
        <w:t xml:space="preserve"> - an overspend of £0.178m; this includes a £0.268m overspend on Housing Consultants and a £0.075km saving on court fees.</w:t>
      </w:r>
    </w:p>
    <w:p w14:paraId="19C7F2DE" w14:textId="0DA0321E" w:rsidR="00E019AC" w:rsidRPr="00A302D1" w:rsidRDefault="00E019AC" w:rsidP="007A7DA6">
      <w:pPr>
        <w:pStyle w:val="ListParagraph"/>
        <w:numPr>
          <w:ilvl w:val="0"/>
          <w:numId w:val="11"/>
        </w:numPr>
        <w:ind w:left="1560"/>
        <w:rPr>
          <w:color w:val="auto"/>
        </w:rPr>
      </w:pPr>
      <w:r w:rsidRPr="00A302D1">
        <w:rPr>
          <w:b/>
          <w:bCs/>
          <w:color w:val="auto"/>
        </w:rPr>
        <w:t>Insurance premium</w:t>
      </w:r>
      <w:r w:rsidRPr="00A302D1">
        <w:rPr>
          <w:color w:val="auto"/>
        </w:rPr>
        <w:t xml:space="preserve"> </w:t>
      </w:r>
      <w:r w:rsidR="008E29B2" w:rsidRPr="00A302D1">
        <w:rPr>
          <w:color w:val="auto"/>
        </w:rPr>
        <w:t>- an</w:t>
      </w:r>
      <w:r w:rsidRPr="00A302D1">
        <w:rPr>
          <w:color w:val="auto"/>
        </w:rPr>
        <w:t xml:space="preserve"> additional spend of £</w:t>
      </w:r>
      <w:r w:rsidR="008E29B2" w:rsidRPr="00A302D1">
        <w:rPr>
          <w:color w:val="auto"/>
        </w:rPr>
        <w:t>0.</w:t>
      </w:r>
      <w:r w:rsidRPr="00A302D1">
        <w:rPr>
          <w:color w:val="auto"/>
        </w:rPr>
        <w:t>399</w:t>
      </w:r>
      <w:r w:rsidR="008E29B2" w:rsidRPr="00A302D1">
        <w:rPr>
          <w:color w:val="auto"/>
        </w:rPr>
        <w:t>m</w:t>
      </w:r>
      <w:r w:rsidRPr="00A302D1">
        <w:rPr>
          <w:color w:val="auto"/>
        </w:rPr>
        <w:t>.</w:t>
      </w:r>
    </w:p>
    <w:p w14:paraId="26BCDBC2" w14:textId="38845CA0" w:rsidR="00E019AC" w:rsidRPr="00A302D1" w:rsidRDefault="008E29B2" w:rsidP="007A7DA6">
      <w:pPr>
        <w:pStyle w:val="ListParagraph"/>
        <w:numPr>
          <w:ilvl w:val="0"/>
          <w:numId w:val="11"/>
        </w:numPr>
        <w:ind w:left="1560"/>
        <w:rPr>
          <w:color w:val="auto"/>
        </w:rPr>
      </w:pPr>
      <w:r w:rsidRPr="00A302D1">
        <w:rPr>
          <w:b/>
          <w:bCs/>
          <w:color w:val="auto"/>
        </w:rPr>
        <w:t>SLA charges</w:t>
      </w:r>
      <w:r w:rsidRPr="00A302D1">
        <w:rPr>
          <w:color w:val="auto"/>
        </w:rPr>
        <w:t xml:space="preserve"> - a</w:t>
      </w:r>
      <w:r w:rsidR="00E019AC" w:rsidRPr="00A302D1">
        <w:rPr>
          <w:color w:val="auto"/>
        </w:rPr>
        <w:t xml:space="preserve"> saving of £</w:t>
      </w:r>
      <w:r w:rsidRPr="00A302D1">
        <w:rPr>
          <w:color w:val="auto"/>
        </w:rPr>
        <w:t>0.</w:t>
      </w:r>
      <w:r w:rsidR="00E019AC" w:rsidRPr="00A302D1">
        <w:rPr>
          <w:color w:val="auto"/>
        </w:rPr>
        <w:t>551</w:t>
      </w:r>
      <w:r w:rsidRPr="00A302D1">
        <w:rPr>
          <w:color w:val="auto"/>
        </w:rPr>
        <w:t>m</w:t>
      </w:r>
    </w:p>
    <w:p w14:paraId="3647624A" w14:textId="79EE7522" w:rsidR="00E019AC" w:rsidRPr="00A302D1" w:rsidRDefault="008E29B2" w:rsidP="007A7DA6">
      <w:pPr>
        <w:pStyle w:val="ListParagraph"/>
        <w:numPr>
          <w:ilvl w:val="0"/>
          <w:numId w:val="11"/>
        </w:numPr>
        <w:ind w:left="1560"/>
        <w:rPr>
          <w:color w:val="auto"/>
        </w:rPr>
      </w:pPr>
      <w:r w:rsidRPr="00A302D1">
        <w:rPr>
          <w:b/>
          <w:bCs/>
          <w:color w:val="auto"/>
        </w:rPr>
        <w:t>Transfer of stock</w:t>
      </w:r>
      <w:r w:rsidRPr="00A302D1">
        <w:rPr>
          <w:color w:val="auto"/>
        </w:rPr>
        <w:t xml:space="preserve"> – a s</w:t>
      </w:r>
      <w:r w:rsidR="00E019AC" w:rsidRPr="00A302D1">
        <w:rPr>
          <w:color w:val="auto"/>
        </w:rPr>
        <w:t>hortfall on income from OX Place to Landlord Services of £</w:t>
      </w:r>
      <w:r w:rsidRPr="00A302D1">
        <w:rPr>
          <w:color w:val="auto"/>
        </w:rPr>
        <w:t>0.0</w:t>
      </w:r>
      <w:r w:rsidR="00E019AC" w:rsidRPr="00A302D1">
        <w:rPr>
          <w:color w:val="auto"/>
        </w:rPr>
        <w:t>31</w:t>
      </w:r>
      <w:r w:rsidRPr="00A302D1">
        <w:rPr>
          <w:color w:val="auto"/>
        </w:rPr>
        <w:t>m</w:t>
      </w:r>
      <w:r w:rsidR="00E019AC" w:rsidRPr="00A302D1">
        <w:rPr>
          <w:color w:val="auto"/>
        </w:rPr>
        <w:t>.</w:t>
      </w:r>
    </w:p>
    <w:p w14:paraId="221FF2FE" w14:textId="3EB9B76A" w:rsidR="00416BFA" w:rsidRPr="00A302D1" w:rsidRDefault="00416BFA" w:rsidP="007A7DA6">
      <w:pPr>
        <w:pStyle w:val="ListParagraph"/>
        <w:numPr>
          <w:ilvl w:val="0"/>
          <w:numId w:val="6"/>
        </w:numPr>
        <w:ind w:left="1276" w:hanging="425"/>
      </w:pPr>
      <w:r w:rsidRPr="00A302D1">
        <w:rPr>
          <w:b/>
          <w:bCs/>
          <w:color w:val="auto"/>
        </w:rPr>
        <w:t xml:space="preserve">Other Revenue Spend (Stock Related) </w:t>
      </w:r>
      <w:proofErr w:type="gramStart"/>
      <w:r w:rsidRPr="00A302D1">
        <w:rPr>
          <w:b/>
          <w:bCs/>
          <w:color w:val="auto"/>
        </w:rPr>
        <w:t xml:space="preserve">- </w:t>
      </w:r>
      <w:r w:rsidRPr="00A302D1">
        <w:rPr>
          <w:color w:val="auto"/>
        </w:rPr>
        <w:t xml:space="preserve"> </w:t>
      </w:r>
      <w:r w:rsidR="0428CCB3" w:rsidRPr="00A302D1">
        <w:rPr>
          <w:color w:val="auto"/>
        </w:rPr>
        <w:t>overall</w:t>
      </w:r>
      <w:proofErr w:type="gramEnd"/>
      <w:r w:rsidR="0428CCB3" w:rsidRPr="00A302D1">
        <w:rPr>
          <w:color w:val="auto"/>
        </w:rPr>
        <w:t xml:space="preserve"> </w:t>
      </w:r>
      <w:r w:rsidR="39AF6AEC" w:rsidRPr="00A302D1">
        <w:rPr>
          <w:color w:val="auto"/>
        </w:rPr>
        <w:t>savings of £</w:t>
      </w:r>
      <w:r w:rsidRPr="00A302D1">
        <w:rPr>
          <w:color w:val="auto"/>
        </w:rPr>
        <w:t>0.</w:t>
      </w:r>
      <w:r w:rsidR="00B66BE1" w:rsidRPr="00A302D1">
        <w:rPr>
          <w:color w:val="auto"/>
        </w:rPr>
        <w:t>20</w:t>
      </w:r>
      <w:r w:rsidRPr="00A302D1">
        <w:rPr>
          <w:color w:val="auto"/>
        </w:rPr>
        <w:t>3m</w:t>
      </w:r>
      <w:r w:rsidR="00B66BE1" w:rsidRPr="00A302D1">
        <w:rPr>
          <w:color w:val="auto"/>
        </w:rPr>
        <w:t xml:space="preserve"> </w:t>
      </w:r>
      <w:r w:rsidRPr="00A302D1">
        <w:rPr>
          <w:color w:val="auto"/>
        </w:rPr>
        <w:t xml:space="preserve">in </w:t>
      </w:r>
      <w:r w:rsidR="000A38A2" w:rsidRPr="00A302D1">
        <w:rPr>
          <w:color w:val="auto"/>
        </w:rPr>
        <w:t>2024/25</w:t>
      </w:r>
      <w:r w:rsidR="39AF6AEC" w:rsidRPr="00A302D1">
        <w:rPr>
          <w:color w:val="auto"/>
        </w:rPr>
        <w:t xml:space="preserve"> </w:t>
      </w:r>
      <w:r w:rsidRPr="00A302D1">
        <w:rPr>
          <w:color w:val="auto"/>
        </w:rPr>
        <w:t>arising from:</w:t>
      </w:r>
    </w:p>
    <w:p w14:paraId="5E8A3E81" w14:textId="77777777" w:rsidR="00416BFA" w:rsidRPr="00A302D1" w:rsidRDefault="00416BFA" w:rsidP="007A7DA6">
      <w:pPr>
        <w:pStyle w:val="ListParagraph"/>
        <w:numPr>
          <w:ilvl w:val="0"/>
          <w:numId w:val="12"/>
        </w:numPr>
        <w:ind w:left="1560"/>
        <w:rPr>
          <w:color w:val="auto"/>
        </w:rPr>
      </w:pPr>
      <w:r w:rsidRPr="00A302D1">
        <w:rPr>
          <w:color w:val="auto"/>
        </w:rPr>
        <w:t>savings of £0.530m from underspends, less £0.211m of costs on new developments of which £0.283m relates to abortive costs.</w:t>
      </w:r>
    </w:p>
    <w:p w14:paraId="69E44523" w14:textId="44DE281B" w:rsidR="00416BFA" w:rsidRPr="00A302D1" w:rsidRDefault="00416BFA" w:rsidP="007A7DA6">
      <w:pPr>
        <w:pStyle w:val="ListParagraph"/>
        <w:numPr>
          <w:ilvl w:val="0"/>
          <w:numId w:val="12"/>
        </w:numPr>
        <w:ind w:left="1560"/>
        <w:rPr>
          <w:color w:val="auto"/>
        </w:rPr>
      </w:pPr>
      <w:r w:rsidRPr="00A302D1">
        <w:rPr>
          <w:color w:val="auto"/>
        </w:rPr>
        <w:t>a £0.090m purchase card spend in relation to decants and B&amp;B’s</w:t>
      </w:r>
    </w:p>
    <w:p w14:paraId="753D3A8F" w14:textId="1DE3E61D" w:rsidR="00416BFA" w:rsidRPr="00A302D1" w:rsidRDefault="00416BFA" w:rsidP="007A7DA6">
      <w:pPr>
        <w:pStyle w:val="ListParagraph"/>
        <w:numPr>
          <w:ilvl w:val="0"/>
          <w:numId w:val="12"/>
        </w:numPr>
        <w:ind w:left="1560"/>
        <w:rPr>
          <w:color w:val="auto"/>
        </w:rPr>
      </w:pPr>
      <w:r w:rsidRPr="00A302D1">
        <w:rPr>
          <w:color w:val="auto"/>
        </w:rPr>
        <w:t xml:space="preserve">a £0.026m spend on compensation payments to tenants </w:t>
      </w:r>
    </w:p>
    <w:p w14:paraId="7BA8049E" w14:textId="476179DB" w:rsidR="006676BC" w:rsidRPr="00A302D1" w:rsidRDefault="006676BC" w:rsidP="007A7DA6">
      <w:pPr>
        <w:pStyle w:val="ListParagraph"/>
        <w:numPr>
          <w:ilvl w:val="0"/>
          <w:numId w:val="6"/>
        </w:numPr>
        <w:ind w:left="1276" w:hanging="425"/>
        <w:rPr>
          <w:color w:val="auto"/>
        </w:rPr>
      </w:pPr>
      <w:r w:rsidRPr="00A302D1">
        <w:rPr>
          <w:b/>
          <w:bCs/>
          <w:color w:val="auto"/>
        </w:rPr>
        <w:t>Misc Expenditure (Not stock related)</w:t>
      </w:r>
      <w:r w:rsidRPr="00A302D1">
        <w:rPr>
          <w:color w:val="auto"/>
        </w:rPr>
        <w:t xml:space="preserve"> -</w:t>
      </w:r>
      <w:r w:rsidRPr="00A302D1">
        <w:rPr>
          <w:b/>
          <w:bCs/>
          <w:color w:val="auto"/>
        </w:rPr>
        <w:t xml:space="preserve"> </w:t>
      </w:r>
      <w:r w:rsidRPr="00A302D1">
        <w:rPr>
          <w:color w:val="auto"/>
        </w:rPr>
        <w:t>the 2024/25 outturn is an underspend of £0.704m compared to the latest 2024/25 budget. This is due to several budgets not being utilised, namely £0.459m unspent on new developments and £0.210m on general contracted services, plus a further £0.035m across the service area.</w:t>
      </w:r>
    </w:p>
    <w:p w14:paraId="0D36E09B" w14:textId="087D0A44" w:rsidR="006676BC" w:rsidRPr="00A302D1" w:rsidRDefault="006676BC" w:rsidP="007A7DA6">
      <w:pPr>
        <w:pStyle w:val="ListParagraph"/>
        <w:numPr>
          <w:ilvl w:val="0"/>
          <w:numId w:val="6"/>
        </w:numPr>
        <w:ind w:left="1276" w:hanging="425"/>
        <w:rPr>
          <w:color w:val="auto"/>
        </w:rPr>
      </w:pPr>
      <w:r w:rsidRPr="00A302D1">
        <w:rPr>
          <w:b/>
          <w:bCs/>
          <w:color w:val="auto"/>
        </w:rPr>
        <w:t>Bad Debt</w:t>
      </w:r>
      <w:r w:rsidRPr="00A302D1">
        <w:rPr>
          <w:color w:val="auto"/>
        </w:rPr>
        <w:t xml:space="preserve"> - the actual bad debt provision for 2024/25 is £0.773m, which is a favourable variance to budget of £0.158m</w:t>
      </w:r>
    </w:p>
    <w:p w14:paraId="3296CB70" w14:textId="753FC3C7" w:rsidR="00147DA9" w:rsidRPr="00A302D1" w:rsidRDefault="006676BC" w:rsidP="007A7DA6">
      <w:pPr>
        <w:pStyle w:val="ListParagraph"/>
        <w:numPr>
          <w:ilvl w:val="0"/>
          <w:numId w:val="6"/>
        </w:numPr>
        <w:ind w:left="1276" w:hanging="425"/>
        <w:rPr>
          <w:color w:val="auto"/>
        </w:rPr>
      </w:pPr>
      <w:r w:rsidRPr="00A302D1">
        <w:rPr>
          <w:b/>
          <w:bCs/>
          <w:color w:val="auto"/>
        </w:rPr>
        <w:lastRenderedPageBreak/>
        <w:t>Responsive &amp; Cyclical Repairs</w:t>
      </w:r>
      <w:r w:rsidR="39AF6AEC" w:rsidRPr="00A302D1">
        <w:rPr>
          <w:color w:val="auto"/>
        </w:rPr>
        <w:t xml:space="preserve"> – </w:t>
      </w:r>
      <w:r w:rsidRPr="00A302D1">
        <w:rPr>
          <w:color w:val="auto"/>
        </w:rPr>
        <w:t>this is the largest category of actual expenditure at £</w:t>
      </w:r>
      <w:r w:rsidR="00403D09" w:rsidRPr="00A302D1">
        <w:rPr>
          <w:color w:val="auto"/>
        </w:rPr>
        <w:t>20</w:t>
      </w:r>
      <w:r w:rsidRPr="00A302D1">
        <w:rPr>
          <w:color w:val="auto"/>
        </w:rPr>
        <w:t>.</w:t>
      </w:r>
      <w:r w:rsidR="00403D09" w:rsidRPr="00A302D1">
        <w:rPr>
          <w:color w:val="auto"/>
        </w:rPr>
        <w:t>379</w:t>
      </w:r>
      <w:r w:rsidRPr="00A302D1">
        <w:rPr>
          <w:color w:val="auto"/>
        </w:rPr>
        <w:t>m for 2024/25 which is an adverse variance to budget of £7.</w:t>
      </w:r>
      <w:r w:rsidR="00403D09" w:rsidRPr="00A302D1">
        <w:rPr>
          <w:color w:val="auto"/>
        </w:rPr>
        <w:t>820</w:t>
      </w:r>
      <w:r w:rsidRPr="00A302D1">
        <w:rPr>
          <w:color w:val="auto"/>
        </w:rPr>
        <w:t>m, which is analysed below</w:t>
      </w:r>
      <w:r w:rsidR="1B5BA129" w:rsidRPr="00A302D1">
        <w:rPr>
          <w:color w:val="auto"/>
        </w:rPr>
        <w:t>:</w:t>
      </w:r>
    </w:p>
    <w:p w14:paraId="399A3BC1" w14:textId="0B1CFE2C" w:rsidR="00147DA9" w:rsidRPr="00A302D1" w:rsidRDefault="39AF6AEC" w:rsidP="007A7DA6">
      <w:pPr>
        <w:pStyle w:val="ListParagraph"/>
        <w:numPr>
          <w:ilvl w:val="2"/>
          <w:numId w:val="13"/>
        </w:numPr>
        <w:ind w:left="1701"/>
        <w:rPr>
          <w:color w:val="auto"/>
        </w:rPr>
      </w:pPr>
      <w:r w:rsidRPr="00A302D1">
        <w:rPr>
          <w:b/>
          <w:bCs/>
          <w:color w:val="auto"/>
        </w:rPr>
        <w:t>General Minor works</w:t>
      </w:r>
      <w:r w:rsidRPr="00A302D1">
        <w:rPr>
          <w:color w:val="auto"/>
        </w:rPr>
        <w:t xml:space="preserve"> - £</w:t>
      </w:r>
      <w:r w:rsidR="00CD388F" w:rsidRPr="00A302D1">
        <w:rPr>
          <w:color w:val="auto"/>
        </w:rPr>
        <w:t>2.748</w:t>
      </w:r>
      <w:r w:rsidR="008F2FDD" w:rsidRPr="00A302D1">
        <w:rPr>
          <w:color w:val="auto"/>
        </w:rPr>
        <w:t>m</w:t>
      </w:r>
      <w:r w:rsidR="0428CCB3" w:rsidRPr="00A302D1">
        <w:rPr>
          <w:color w:val="auto"/>
        </w:rPr>
        <w:t>. This is a demand led budget which council officers are trying to reduce in favour of undertak</w:t>
      </w:r>
      <w:r w:rsidR="00F80635" w:rsidRPr="00A302D1">
        <w:rPr>
          <w:color w:val="auto"/>
        </w:rPr>
        <w:t>ing</w:t>
      </w:r>
      <w:r w:rsidR="0428CCB3" w:rsidRPr="00A302D1">
        <w:rPr>
          <w:color w:val="auto"/>
        </w:rPr>
        <w:t xml:space="preserve"> more planned work</w:t>
      </w:r>
      <w:r w:rsidR="00B436A9" w:rsidRPr="00A302D1">
        <w:rPr>
          <w:color w:val="auto"/>
        </w:rPr>
        <w:t>.</w:t>
      </w:r>
    </w:p>
    <w:p w14:paraId="363BF0F2" w14:textId="77777777" w:rsidR="00CD388F" w:rsidRPr="00A302D1" w:rsidRDefault="00CD388F" w:rsidP="007A7DA6">
      <w:pPr>
        <w:pStyle w:val="ListParagraph"/>
        <w:numPr>
          <w:ilvl w:val="2"/>
          <w:numId w:val="13"/>
        </w:numPr>
        <w:ind w:left="1701"/>
      </w:pPr>
      <w:r w:rsidRPr="00A302D1">
        <w:rPr>
          <w:b/>
          <w:bCs/>
          <w:color w:val="auto"/>
        </w:rPr>
        <w:t>Asbestos works</w:t>
      </w:r>
      <w:r w:rsidRPr="00A302D1">
        <w:rPr>
          <w:color w:val="auto"/>
        </w:rPr>
        <w:t xml:space="preserve"> </w:t>
      </w:r>
      <w:r w:rsidRPr="00A302D1">
        <w:rPr>
          <w:b/>
          <w:bCs/>
          <w:color w:val="auto"/>
        </w:rPr>
        <w:t xml:space="preserve">and fire safety </w:t>
      </w:r>
      <w:r w:rsidRPr="00A302D1">
        <w:rPr>
          <w:color w:val="auto"/>
        </w:rPr>
        <w:t>- £1.145m – due to compliance with Housing regulator new standards and the levels of asbestos clearance and surveys required.</w:t>
      </w:r>
    </w:p>
    <w:p w14:paraId="5632B2E1" w14:textId="77777777" w:rsidR="00CD388F" w:rsidRPr="00A302D1" w:rsidRDefault="00CD388F" w:rsidP="007A7DA6">
      <w:pPr>
        <w:pStyle w:val="ListParagraph"/>
        <w:numPr>
          <w:ilvl w:val="2"/>
          <w:numId w:val="13"/>
        </w:numPr>
        <w:ind w:left="1701"/>
      </w:pPr>
      <w:r w:rsidRPr="00A302D1">
        <w:rPr>
          <w:b/>
          <w:bCs/>
          <w:color w:val="auto"/>
        </w:rPr>
        <w:t xml:space="preserve">Day to Day </w:t>
      </w:r>
      <w:r w:rsidRPr="00A302D1">
        <w:t xml:space="preserve">- £1.128m – demand led jobs raised by tenants via the contact centre. </w:t>
      </w:r>
    </w:p>
    <w:p w14:paraId="465EDB4F" w14:textId="77777777" w:rsidR="00CD388F" w:rsidRPr="00A302D1" w:rsidRDefault="00CD388F" w:rsidP="007A7DA6">
      <w:pPr>
        <w:pStyle w:val="ListParagraph"/>
        <w:numPr>
          <w:ilvl w:val="2"/>
          <w:numId w:val="13"/>
        </w:numPr>
        <w:ind w:left="1701"/>
      </w:pPr>
      <w:r w:rsidRPr="00A302D1">
        <w:rPr>
          <w:b/>
          <w:bCs/>
          <w:color w:val="auto"/>
        </w:rPr>
        <w:t>Void works</w:t>
      </w:r>
      <w:r w:rsidRPr="00A302D1">
        <w:rPr>
          <w:color w:val="auto"/>
        </w:rPr>
        <w:t xml:space="preserve"> - £0.788m – significant increase in voids due to increases in number of new homes coming into the HRA from the Development programme. </w:t>
      </w:r>
    </w:p>
    <w:p w14:paraId="02501B44" w14:textId="16CF8F09" w:rsidR="00CD388F" w:rsidRPr="00A302D1" w:rsidRDefault="00CD388F" w:rsidP="007A7DA6">
      <w:pPr>
        <w:pStyle w:val="ListParagraph"/>
        <w:numPr>
          <w:ilvl w:val="2"/>
          <w:numId w:val="13"/>
        </w:numPr>
        <w:ind w:left="1701"/>
        <w:rPr>
          <w:color w:val="auto"/>
        </w:rPr>
      </w:pPr>
      <w:r w:rsidRPr="00A302D1">
        <w:rPr>
          <w:b/>
          <w:bCs/>
          <w:color w:val="auto"/>
        </w:rPr>
        <w:t>Electrical upgrades/inspections</w:t>
      </w:r>
      <w:r w:rsidRPr="00A302D1">
        <w:rPr>
          <w:color w:val="auto"/>
        </w:rPr>
        <w:t xml:space="preserve"> - £0.724m – electrical inspections are being moved from a 7 yearly cycle to a 5 yearly to comply with the latest standards.</w:t>
      </w:r>
    </w:p>
    <w:p w14:paraId="12423EF9" w14:textId="2FF0D680" w:rsidR="00B436A9" w:rsidRPr="00A302D1" w:rsidRDefault="00B436A9" w:rsidP="007A7DA6">
      <w:pPr>
        <w:pStyle w:val="ListParagraph"/>
        <w:numPr>
          <w:ilvl w:val="2"/>
          <w:numId w:val="13"/>
        </w:numPr>
        <w:ind w:left="1701"/>
      </w:pPr>
      <w:r w:rsidRPr="00A302D1">
        <w:rPr>
          <w:b/>
          <w:bCs/>
          <w:color w:val="auto"/>
        </w:rPr>
        <w:t xml:space="preserve">Repairs and Maintenance Contact Centre </w:t>
      </w:r>
      <w:r w:rsidRPr="00A302D1">
        <w:t>- £</w:t>
      </w:r>
      <w:r w:rsidR="00CD388F" w:rsidRPr="00A302D1">
        <w:t>0.496m -</w:t>
      </w:r>
      <w:r w:rsidR="00F80635" w:rsidRPr="00A302D1">
        <w:t xml:space="preserve"> to cover additional costs for the contact centre calls associated with repairs by ODS</w:t>
      </w:r>
    </w:p>
    <w:p w14:paraId="69930685" w14:textId="0EDA8C19" w:rsidR="00F80635" w:rsidRPr="00A302D1" w:rsidRDefault="00F80635" w:rsidP="00F80635">
      <w:pPr>
        <w:ind w:left="1276"/>
        <w:rPr>
          <w:color w:val="auto"/>
        </w:rPr>
      </w:pPr>
      <w:r w:rsidRPr="00A302D1">
        <w:rPr>
          <w:color w:val="auto"/>
        </w:rPr>
        <w:t xml:space="preserve">The </w:t>
      </w:r>
      <w:r w:rsidR="00403D09" w:rsidRPr="00A302D1">
        <w:rPr>
          <w:color w:val="auto"/>
        </w:rPr>
        <w:t>2024/25</w:t>
      </w:r>
      <w:r w:rsidRPr="00A302D1">
        <w:rPr>
          <w:color w:val="auto"/>
        </w:rPr>
        <w:t xml:space="preserve"> overspend for repairs is due to an exceptional year following the introduction of significant changes to the compliance standards set by the Housing Regulator. This has required a rapid response by the Council resulting in an increase to the number of specialist surveys carried out, as well as any remedial works required.  Notable areas in respect of this are Fire Safety, Asbestos and Electrical Upgrades / Inspections. To address </w:t>
      </w:r>
      <w:r w:rsidR="00A302D1" w:rsidRPr="00A302D1">
        <w:rPr>
          <w:color w:val="auto"/>
        </w:rPr>
        <w:t>this,</w:t>
      </w:r>
      <w:r w:rsidRPr="00A302D1">
        <w:rPr>
          <w:color w:val="auto"/>
        </w:rPr>
        <w:t xml:space="preserve"> overspend the proposed budgets included in the </w:t>
      </w:r>
      <w:r w:rsidR="00403D09" w:rsidRPr="00A302D1">
        <w:rPr>
          <w:color w:val="auto"/>
        </w:rPr>
        <w:t xml:space="preserve">2025/26 </w:t>
      </w:r>
      <w:r w:rsidRPr="00A302D1">
        <w:rPr>
          <w:color w:val="auto"/>
        </w:rPr>
        <w:t xml:space="preserve">MTFP have been increased to accommodate the expected ongoing planned compliance works which should be at a more managed level going forward. The Council has also undertaken a significant amount of work in Business and Asset Management Planning to compile a comprehensive programme of capital investment that over the longer term will reduce the ad-hoc demand for repairs and maintenance.  </w:t>
      </w:r>
    </w:p>
    <w:p w14:paraId="1AD6675A" w14:textId="16B5C8E4" w:rsidR="00F80635" w:rsidRPr="00A302D1" w:rsidRDefault="00F80635" w:rsidP="00F80635">
      <w:pPr>
        <w:ind w:left="1276"/>
        <w:rPr>
          <w:color w:val="auto"/>
        </w:rPr>
      </w:pPr>
      <w:r w:rsidRPr="00A302D1">
        <w:rPr>
          <w:color w:val="auto"/>
        </w:rPr>
        <w:t xml:space="preserve">We continue to move works where possible into capital programmes and reduce the element of reactive works. </w:t>
      </w:r>
      <w:r w:rsidR="00634478" w:rsidRPr="00A302D1">
        <w:rPr>
          <w:color w:val="auto"/>
        </w:rPr>
        <w:t xml:space="preserve">A </w:t>
      </w:r>
      <w:r w:rsidRPr="00A302D1">
        <w:rPr>
          <w:color w:val="auto"/>
        </w:rPr>
        <w:t xml:space="preserve">new 5-year capital programme </w:t>
      </w:r>
      <w:r w:rsidR="00634478" w:rsidRPr="00A302D1">
        <w:rPr>
          <w:color w:val="auto"/>
        </w:rPr>
        <w:t>commences from 2025/26.</w:t>
      </w:r>
    </w:p>
    <w:p w14:paraId="70468878" w14:textId="76C18BDB" w:rsidR="000067C3" w:rsidRPr="00A302D1" w:rsidRDefault="000067C3" w:rsidP="007A7DA6">
      <w:pPr>
        <w:pStyle w:val="ListParagraph"/>
        <w:numPr>
          <w:ilvl w:val="1"/>
          <w:numId w:val="8"/>
        </w:numPr>
        <w:ind w:left="1276" w:hanging="424"/>
        <w:rPr>
          <w:b/>
          <w:bCs/>
          <w:color w:val="auto"/>
        </w:rPr>
      </w:pPr>
      <w:r w:rsidRPr="00A302D1">
        <w:rPr>
          <w:b/>
          <w:bCs/>
          <w:color w:val="auto"/>
        </w:rPr>
        <w:t xml:space="preserve">Interest Paid </w:t>
      </w:r>
      <w:r w:rsidRPr="00A302D1">
        <w:rPr>
          <w:color w:val="auto"/>
        </w:rPr>
        <w:t xml:space="preserve">– a favourable variance of £1.968m due to </w:t>
      </w:r>
      <w:r w:rsidR="0038592B" w:rsidRPr="0038592B">
        <w:rPr>
          <w:color w:val="auto"/>
        </w:rPr>
        <w:t>delays in the delivery of the planned development programme that has resulted in significantly lower borrowing levels and hence lower interest costs</w:t>
      </w:r>
      <w:r w:rsidR="00DE74E1">
        <w:rPr>
          <w:color w:val="auto"/>
        </w:rPr>
        <w:t>.</w:t>
      </w:r>
    </w:p>
    <w:p w14:paraId="3F8305ED" w14:textId="2565FF18" w:rsidR="000067C3" w:rsidRPr="00A302D1" w:rsidRDefault="000067C3" w:rsidP="007A7DA6">
      <w:pPr>
        <w:pStyle w:val="ListParagraph"/>
        <w:numPr>
          <w:ilvl w:val="1"/>
          <w:numId w:val="8"/>
        </w:numPr>
        <w:ind w:left="1276" w:hanging="424"/>
        <w:rPr>
          <w:b/>
          <w:bCs/>
          <w:color w:val="auto"/>
        </w:rPr>
      </w:pPr>
      <w:r w:rsidRPr="00A302D1">
        <w:rPr>
          <w:b/>
          <w:bCs/>
          <w:color w:val="auto"/>
        </w:rPr>
        <w:t xml:space="preserve">Depreciation </w:t>
      </w:r>
      <w:r w:rsidRPr="00A302D1">
        <w:rPr>
          <w:color w:val="auto"/>
        </w:rPr>
        <w:t>– an overspend to budget of £1.416</w:t>
      </w:r>
      <w:r w:rsidR="00BF5627">
        <w:rPr>
          <w:color w:val="auto"/>
        </w:rPr>
        <w:t>m</w:t>
      </w:r>
      <w:r w:rsidR="00BF5627" w:rsidRPr="00BF5627">
        <w:rPr>
          <w:color w:val="auto"/>
        </w:rPr>
        <w:t>. This is an uncontrollable cost linked to the overall value of the homes. The recent increases in valuations of the homes alongside the acquisition of additional homes at Barton Park (circa £40m) has significantly increased the depreciation charge. However, the depreciation charge in the HRA is recycled into the Major Repairs Reserve which is then used for planned maintenance programmes across the HRA estate.</w:t>
      </w:r>
    </w:p>
    <w:p w14:paraId="0493FA73" w14:textId="5CEE5D6D" w:rsidR="00296DAF" w:rsidRPr="00A302D1" w:rsidRDefault="00634478" w:rsidP="007A7DA6">
      <w:pPr>
        <w:pStyle w:val="ListParagraph"/>
        <w:numPr>
          <w:ilvl w:val="1"/>
          <w:numId w:val="8"/>
        </w:numPr>
        <w:ind w:left="1276" w:hanging="424"/>
        <w:rPr>
          <w:b/>
          <w:bCs/>
          <w:color w:val="auto"/>
        </w:rPr>
      </w:pPr>
      <w:r w:rsidRPr="00A302D1">
        <w:rPr>
          <w:b/>
          <w:bCs/>
        </w:rPr>
        <w:lastRenderedPageBreak/>
        <w:t>Gain on Sale of Fixed Assets</w:t>
      </w:r>
      <w:r w:rsidR="000F3D6E" w:rsidRPr="00A302D1">
        <w:t xml:space="preserve"> – </w:t>
      </w:r>
      <w:r w:rsidRPr="00A302D1">
        <w:t>the 2024/25 actual gain of £6.882m relates to the realisation of the increase in values of properties sold. Every year the HRA properties are valued and any increases / decreases in valuation are recorded on the balance sheet. However, when a property is sold, this increase in value is “realised” as the difference between the historic cost of the property (the original cost plus any subsequent capital investment) and the sales value. As most of the stock is over 50 years old, the base asset values will have increased significantly over the lifetime of the properties.</w:t>
      </w:r>
    </w:p>
    <w:p w14:paraId="1F4290FE" w14:textId="72AD7CA7" w:rsidR="00D122CB" w:rsidRPr="00A302D1" w:rsidRDefault="7D4D685D" w:rsidP="14BF4969">
      <w:pPr>
        <w:rPr>
          <w:b/>
          <w:bCs/>
          <w:color w:val="auto"/>
        </w:rPr>
      </w:pPr>
      <w:r w:rsidRPr="00A302D1">
        <w:rPr>
          <w:b/>
          <w:bCs/>
          <w:color w:val="auto"/>
        </w:rPr>
        <w:t>Capital</w:t>
      </w:r>
    </w:p>
    <w:p w14:paraId="69986616" w14:textId="180B5671" w:rsidR="00107566" w:rsidRPr="00A302D1" w:rsidRDefault="00107566" w:rsidP="00107566">
      <w:pPr>
        <w:pStyle w:val="ListParagraph"/>
        <w:numPr>
          <w:ilvl w:val="0"/>
          <w:numId w:val="5"/>
        </w:numPr>
        <w:ind w:hanging="502"/>
        <w:rPr>
          <w:color w:val="auto"/>
        </w:rPr>
      </w:pPr>
      <w:r w:rsidRPr="00A302D1">
        <w:rPr>
          <w:color w:val="auto"/>
        </w:rPr>
        <w:t>The budget for 2024</w:t>
      </w:r>
      <w:r w:rsidR="009A32CA" w:rsidRPr="00A302D1">
        <w:rPr>
          <w:color w:val="auto"/>
        </w:rPr>
        <w:t>/</w:t>
      </w:r>
      <w:r w:rsidRPr="00A302D1">
        <w:rPr>
          <w:color w:val="auto"/>
        </w:rPr>
        <w:t>25, as approved by the Council at its meeting in February 2024, was set at £235.419</w:t>
      </w:r>
      <w:r w:rsidR="008F2FDD" w:rsidRPr="00A302D1">
        <w:rPr>
          <w:color w:val="auto"/>
        </w:rPr>
        <w:t>m</w:t>
      </w:r>
      <w:r w:rsidRPr="00A302D1">
        <w:rPr>
          <w:color w:val="auto"/>
        </w:rPr>
        <w:t xml:space="preserve">. </w:t>
      </w:r>
      <w:r w:rsidRPr="00A302D1">
        <w:rPr>
          <w:rFonts w:cs="Arial"/>
          <w:color w:val="000000" w:themeColor="text1"/>
        </w:rPr>
        <w:t>Since this point, some of the required carry forwards of underspends from 2023/24 have been included as well as in-year budget slippages with the budgets reprofiled accordingly</w:t>
      </w:r>
      <w:r w:rsidR="00EE0B3D" w:rsidRPr="00A302D1">
        <w:rPr>
          <w:rFonts w:cs="Arial"/>
          <w:color w:val="000000" w:themeColor="text1"/>
        </w:rPr>
        <w:t xml:space="preserve"> which g</w:t>
      </w:r>
      <w:r w:rsidR="006C02AD" w:rsidRPr="00A302D1">
        <w:rPr>
          <w:rFonts w:cs="Arial"/>
          <w:color w:val="000000" w:themeColor="text1"/>
        </w:rPr>
        <w:t>ave</w:t>
      </w:r>
      <w:r w:rsidR="00EE0B3D" w:rsidRPr="00A302D1">
        <w:rPr>
          <w:rFonts w:cs="Arial"/>
          <w:color w:val="000000" w:themeColor="text1"/>
        </w:rPr>
        <w:t xml:space="preserve"> rise to a Latest Budget 2024/25 of £164.884m</w:t>
      </w:r>
      <w:r w:rsidR="00CE3A9D" w:rsidRPr="00A302D1">
        <w:rPr>
          <w:rFonts w:cs="Arial"/>
          <w:color w:val="000000" w:themeColor="text1"/>
        </w:rPr>
        <w:t>.</w:t>
      </w:r>
    </w:p>
    <w:p w14:paraId="169136FB" w14:textId="05BDDCDA" w:rsidR="00107566" w:rsidRPr="00A302D1" w:rsidRDefault="00CE3A9D" w:rsidP="00107566">
      <w:pPr>
        <w:pStyle w:val="ListParagraph"/>
        <w:numPr>
          <w:ilvl w:val="0"/>
          <w:numId w:val="5"/>
        </w:numPr>
        <w:ind w:hanging="502"/>
        <w:rPr>
          <w:b/>
          <w:bCs/>
          <w:color w:val="auto"/>
        </w:rPr>
      </w:pPr>
      <w:r w:rsidRPr="00A302D1">
        <w:t>2024/25 actual s</w:t>
      </w:r>
      <w:r w:rsidR="00107566" w:rsidRPr="00A302D1">
        <w:t>pend is £</w:t>
      </w:r>
      <w:r w:rsidRPr="00A302D1">
        <w:t>145.</w:t>
      </w:r>
      <w:r w:rsidR="002B75B7" w:rsidRPr="00A302D1">
        <w:t>35</w:t>
      </w:r>
      <w:r w:rsidR="008F2FDD" w:rsidRPr="00A302D1">
        <w:t>m</w:t>
      </w:r>
      <w:r w:rsidRPr="00A302D1">
        <w:t xml:space="preserve"> [HRA: £105.68m, GF £</w:t>
      </w:r>
      <w:r w:rsidR="002B75B7" w:rsidRPr="00A302D1">
        <w:t>39</w:t>
      </w:r>
      <w:r w:rsidRPr="00A302D1">
        <w:t>.</w:t>
      </w:r>
      <w:r w:rsidR="002B75B7" w:rsidRPr="00A302D1">
        <w:t>67</w:t>
      </w:r>
      <w:r w:rsidRPr="00A302D1">
        <w:t>m]</w:t>
      </w:r>
      <w:r w:rsidR="00107566" w:rsidRPr="00A302D1">
        <w:t xml:space="preserve">, which is </w:t>
      </w:r>
      <w:r w:rsidRPr="00A302D1">
        <w:t>88</w:t>
      </w:r>
      <w:r w:rsidR="00107566" w:rsidRPr="00A302D1">
        <w:t xml:space="preserve">% of the </w:t>
      </w:r>
      <w:r w:rsidRPr="00A302D1">
        <w:t>L</w:t>
      </w:r>
      <w:r w:rsidR="00107566" w:rsidRPr="00A302D1">
        <w:t xml:space="preserve">atest </w:t>
      </w:r>
      <w:r w:rsidRPr="00A302D1">
        <w:t>B</w:t>
      </w:r>
      <w:r w:rsidR="00107566" w:rsidRPr="00A302D1">
        <w:t>udget</w:t>
      </w:r>
      <w:r w:rsidRPr="00A302D1">
        <w:t xml:space="preserve"> 2024/25 of £164.88m [HRA: £115.98m, GF £48.90m] resulting in an underspend to budget of £19.</w:t>
      </w:r>
      <w:r w:rsidR="002B75B7" w:rsidRPr="00A302D1">
        <w:t>535</w:t>
      </w:r>
      <w:r w:rsidRPr="00A302D1">
        <w:t>m [HRA: £10.3</w:t>
      </w:r>
      <w:r w:rsidR="002B75B7" w:rsidRPr="00A302D1">
        <w:t>0</w:t>
      </w:r>
      <w:r w:rsidRPr="00A302D1">
        <w:t>m, GF £</w:t>
      </w:r>
      <w:r w:rsidR="002B75B7" w:rsidRPr="00A302D1">
        <w:t>9</w:t>
      </w:r>
      <w:r w:rsidRPr="00A302D1">
        <w:t>.</w:t>
      </w:r>
      <w:r w:rsidR="002B75B7" w:rsidRPr="00A302D1">
        <w:t>23</w:t>
      </w:r>
      <w:r w:rsidRPr="00A302D1">
        <w:t xml:space="preserve">m] </w:t>
      </w:r>
      <w:r w:rsidRPr="00A302D1">
        <w:rPr>
          <w:rFonts w:cs="Arial"/>
          <w:color w:val="000000" w:themeColor="text1"/>
        </w:rPr>
        <w:t xml:space="preserve">as shown in Fig.1 and Appendix </w:t>
      </w:r>
      <w:r w:rsidR="00A059DD">
        <w:rPr>
          <w:rFonts w:cs="Arial"/>
          <w:color w:val="000000" w:themeColor="text1"/>
        </w:rPr>
        <w:t>3</w:t>
      </w:r>
      <w:r w:rsidRPr="00A302D1">
        <w:t>.</w:t>
      </w:r>
      <w:r w:rsidR="006C02AD" w:rsidRPr="00A302D1">
        <w:t xml:space="preserve"> The underspend of £19.</w:t>
      </w:r>
      <w:r w:rsidR="002B75B7" w:rsidRPr="00A302D1">
        <w:t>535</w:t>
      </w:r>
      <w:r w:rsidR="006C02AD" w:rsidRPr="00A302D1">
        <w:t>m comprises £9.32m slippage of programme activity into 2025/26 and a net underspend of £</w:t>
      </w:r>
      <w:r w:rsidR="002B75B7" w:rsidRPr="00A302D1">
        <w:t>10.214</w:t>
      </w:r>
      <w:r w:rsidR="006C02AD" w:rsidRPr="00A302D1">
        <w:t xml:space="preserve">m on budgeted projects. </w:t>
      </w:r>
    </w:p>
    <w:p w14:paraId="663C0559" w14:textId="0810A12A" w:rsidR="001C2815" w:rsidRDefault="002B75B7" w:rsidP="005369EA">
      <w:pPr>
        <w:pStyle w:val="ListParagraph"/>
        <w:rPr>
          <w:color w:val="auto"/>
          <w:sz w:val="16"/>
          <w:szCs w:val="16"/>
        </w:rPr>
      </w:pPr>
      <w:r w:rsidRPr="002B75B7">
        <w:rPr>
          <w:noProof/>
        </w:rPr>
        <w:drawing>
          <wp:inline distT="0" distB="0" distL="0" distR="0" wp14:anchorId="314B128C" wp14:editId="250A7876">
            <wp:extent cx="5904230" cy="1126490"/>
            <wp:effectExtent l="0" t="0" r="1270" b="0"/>
            <wp:docPr id="1408127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1126490"/>
                    </a:xfrm>
                    <a:prstGeom prst="rect">
                      <a:avLst/>
                    </a:prstGeom>
                    <a:noFill/>
                    <a:ln>
                      <a:noFill/>
                    </a:ln>
                  </pic:spPr>
                </pic:pic>
              </a:graphicData>
            </a:graphic>
          </wp:inline>
        </w:drawing>
      </w:r>
    </w:p>
    <w:p w14:paraId="2D92DF85" w14:textId="7237EAEA" w:rsidR="00107566" w:rsidRPr="001956F9" w:rsidRDefault="00107566" w:rsidP="005369EA">
      <w:pPr>
        <w:pStyle w:val="ListParagraph"/>
        <w:rPr>
          <w:color w:val="auto"/>
          <w:sz w:val="16"/>
          <w:szCs w:val="16"/>
        </w:rPr>
      </w:pPr>
      <w:r w:rsidRPr="001956F9">
        <w:rPr>
          <w:color w:val="auto"/>
          <w:sz w:val="16"/>
          <w:szCs w:val="16"/>
        </w:rPr>
        <w:t>Fig</w:t>
      </w:r>
      <w:r>
        <w:rPr>
          <w:color w:val="auto"/>
          <w:sz w:val="16"/>
          <w:szCs w:val="16"/>
        </w:rPr>
        <w:t>.</w:t>
      </w:r>
      <w:r w:rsidRPr="001956F9">
        <w:rPr>
          <w:color w:val="auto"/>
          <w:sz w:val="16"/>
          <w:szCs w:val="16"/>
        </w:rPr>
        <w:t>1</w:t>
      </w:r>
    </w:p>
    <w:p w14:paraId="7695CF46" w14:textId="77777777" w:rsidR="00107566" w:rsidRDefault="00107566" w:rsidP="00107566">
      <w:pPr>
        <w:rPr>
          <w:b/>
          <w:bCs/>
          <w:color w:val="auto"/>
        </w:rPr>
      </w:pPr>
    </w:p>
    <w:p w14:paraId="0378F51D" w14:textId="6E6363F8" w:rsidR="006C02AD" w:rsidRPr="00A302D1" w:rsidRDefault="006C02AD" w:rsidP="006C02AD">
      <w:pPr>
        <w:pStyle w:val="ListParagraph"/>
        <w:numPr>
          <w:ilvl w:val="0"/>
          <w:numId w:val="5"/>
        </w:numPr>
        <w:ind w:hanging="502"/>
      </w:pPr>
      <w:r w:rsidRPr="00A302D1">
        <w:t xml:space="preserve">There has been a concerted focus on monitoring and scheme delivery in 2024/25 resulting in the percentage spend of Latest Budget almost </w:t>
      </w:r>
      <w:proofErr w:type="gramStart"/>
      <w:r w:rsidRPr="00A302D1">
        <w:t>doubling  from</w:t>
      </w:r>
      <w:proofErr w:type="gramEnd"/>
      <w:r w:rsidRPr="00A302D1">
        <w:t xml:space="preserve"> 45% in 2023/24 to 88% in 2024/25.</w:t>
      </w:r>
    </w:p>
    <w:p w14:paraId="2844BBD1" w14:textId="0D007BB8" w:rsidR="005A4237" w:rsidRDefault="005A4237" w:rsidP="006C02AD">
      <w:pPr>
        <w:pStyle w:val="ListParagraph"/>
        <w:numPr>
          <w:ilvl w:val="0"/>
          <w:numId w:val="5"/>
        </w:numPr>
        <w:ind w:hanging="502"/>
      </w:pPr>
      <w:r w:rsidRPr="00A302D1">
        <w:t xml:space="preserve">The capital </w:t>
      </w:r>
      <w:r w:rsidR="00E66561" w:rsidRPr="00A302D1">
        <w:t xml:space="preserve">programme </w:t>
      </w:r>
      <w:r w:rsidRPr="00A302D1">
        <w:t>in 2024/25 has been funded as follows:</w:t>
      </w:r>
    </w:p>
    <w:p w14:paraId="4B8FB6F5" w14:textId="76054626" w:rsidR="00E66561" w:rsidRDefault="00E66561" w:rsidP="00E66561">
      <w:pPr>
        <w:ind w:left="709"/>
        <w:rPr>
          <w:highlight w:val="green"/>
        </w:rPr>
      </w:pPr>
      <w:r w:rsidRPr="00E66561">
        <w:rPr>
          <w:noProof/>
        </w:rPr>
        <w:drawing>
          <wp:inline distT="0" distB="0" distL="0" distR="0" wp14:anchorId="43611B10" wp14:editId="524FC885">
            <wp:extent cx="4143375" cy="2466527"/>
            <wp:effectExtent l="0" t="0" r="0" b="0"/>
            <wp:docPr id="1182131292" name="Picture 1"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31292" name="Picture 1" descr="A pie chart with text&#10;&#10;AI-generated content may be incorrect."/>
                    <pic:cNvPicPr/>
                  </pic:nvPicPr>
                  <pic:blipFill>
                    <a:blip r:embed="rId12"/>
                    <a:stretch>
                      <a:fillRect/>
                    </a:stretch>
                  </pic:blipFill>
                  <pic:spPr>
                    <a:xfrm>
                      <a:off x="0" y="0"/>
                      <a:ext cx="4197628" cy="2498823"/>
                    </a:xfrm>
                    <a:prstGeom prst="rect">
                      <a:avLst/>
                    </a:prstGeom>
                  </pic:spPr>
                </pic:pic>
              </a:graphicData>
            </a:graphic>
          </wp:inline>
        </w:drawing>
      </w:r>
    </w:p>
    <w:p w14:paraId="6C3DA816" w14:textId="1A8EA9F6" w:rsidR="00107566" w:rsidRPr="00291CF3" w:rsidRDefault="00107566" w:rsidP="00107566">
      <w:pPr>
        <w:rPr>
          <w:b/>
          <w:bCs/>
          <w:color w:val="auto"/>
        </w:rPr>
      </w:pPr>
      <w:r w:rsidRPr="14BF4969">
        <w:rPr>
          <w:b/>
          <w:bCs/>
          <w:color w:val="auto"/>
        </w:rPr>
        <w:lastRenderedPageBreak/>
        <w:t>General Fund Capital</w:t>
      </w:r>
    </w:p>
    <w:p w14:paraId="14665758" w14:textId="7A58427A" w:rsidR="00107566" w:rsidRPr="00A302D1" w:rsidRDefault="00107566" w:rsidP="00AD7C78">
      <w:pPr>
        <w:pStyle w:val="ListParagraph"/>
        <w:numPr>
          <w:ilvl w:val="0"/>
          <w:numId w:val="5"/>
        </w:numPr>
        <w:ind w:hanging="502"/>
        <w:rPr>
          <w:color w:val="auto"/>
        </w:rPr>
      </w:pPr>
      <w:r w:rsidRPr="00A302D1">
        <w:rPr>
          <w:color w:val="auto"/>
        </w:rPr>
        <w:t>A summary of the General Fund schemes by project type is shown below in Fig.2 and this provides an insight into the value and range of development projects that the Council is under</w:t>
      </w:r>
      <w:r w:rsidR="004C6FC5" w:rsidRPr="00A302D1">
        <w:rPr>
          <w:color w:val="auto"/>
        </w:rPr>
        <w:t>taking</w:t>
      </w:r>
      <w:r w:rsidRPr="00A302D1">
        <w:rPr>
          <w:color w:val="auto"/>
        </w:rPr>
        <w:t>. It also highlights that 12%</w:t>
      </w:r>
      <w:r w:rsidR="00AA3702" w:rsidRPr="00A302D1">
        <w:rPr>
          <w:color w:val="auto"/>
        </w:rPr>
        <w:t>-1</w:t>
      </w:r>
      <w:r w:rsidR="001E7ADB" w:rsidRPr="00A302D1">
        <w:rPr>
          <w:color w:val="auto"/>
        </w:rPr>
        <w:t>5</w:t>
      </w:r>
      <w:r w:rsidR="00AA3702" w:rsidRPr="00A302D1">
        <w:rPr>
          <w:color w:val="auto"/>
        </w:rPr>
        <w:t>%</w:t>
      </w:r>
      <w:r w:rsidRPr="00A302D1">
        <w:rPr>
          <w:color w:val="auto"/>
        </w:rPr>
        <w:t xml:space="preserve"> of the capital programme relates to Housing Company Loans of which the spend is reliant on the progress of the Housing company development programme.  </w:t>
      </w:r>
    </w:p>
    <w:p w14:paraId="35318E7B" w14:textId="7C3553E6" w:rsidR="00107566" w:rsidRPr="00A302D1" w:rsidRDefault="00107566" w:rsidP="00107566">
      <w:pPr>
        <w:pStyle w:val="ListParagraph"/>
        <w:numPr>
          <w:ilvl w:val="0"/>
          <w:numId w:val="5"/>
        </w:numPr>
        <w:tabs>
          <w:tab w:val="clear" w:pos="426"/>
        </w:tabs>
        <w:ind w:hanging="502"/>
      </w:pPr>
      <w:r w:rsidRPr="00A302D1">
        <w:rPr>
          <w:color w:val="auto"/>
        </w:rPr>
        <w:t>From the start of 2024/25 a revised approach to aligning the OX Place Business Plan with the quarterly Capital Monitoring has been in place and this is realising improved projections in terms of both loans to the company and HRA purchases.</w:t>
      </w:r>
    </w:p>
    <w:p w14:paraId="15FBF0F9" w14:textId="7FF1105C" w:rsidR="001E7ADB" w:rsidRDefault="001E7ADB" w:rsidP="005369EA">
      <w:pPr>
        <w:pStyle w:val="ListParagraph"/>
        <w:ind w:left="284"/>
        <w:rPr>
          <w:color w:val="auto"/>
          <w:sz w:val="16"/>
          <w:szCs w:val="16"/>
        </w:rPr>
      </w:pPr>
      <w:r w:rsidRPr="001E7ADB">
        <w:rPr>
          <w:noProof/>
        </w:rPr>
        <w:drawing>
          <wp:inline distT="0" distB="0" distL="0" distR="0" wp14:anchorId="054F7AF2" wp14:editId="73C09D74">
            <wp:extent cx="5904230" cy="1948180"/>
            <wp:effectExtent l="0" t="0" r="1270" b="0"/>
            <wp:docPr id="1026375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1948180"/>
                    </a:xfrm>
                    <a:prstGeom prst="rect">
                      <a:avLst/>
                    </a:prstGeom>
                    <a:noFill/>
                    <a:ln>
                      <a:noFill/>
                    </a:ln>
                  </pic:spPr>
                </pic:pic>
              </a:graphicData>
            </a:graphic>
          </wp:inline>
        </w:drawing>
      </w:r>
    </w:p>
    <w:p w14:paraId="63F582FB" w14:textId="322A25E1" w:rsidR="00107566" w:rsidRPr="00A302D1" w:rsidRDefault="00107566" w:rsidP="005369EA">
      <w:pPr>
        <w:pStyle w:val="ListParagraph"/>
        <w:ind w:left="284"/>
        <w:rPr>
          <w:color w:val="auto"/>
          <w:sz w:val="16"/>
          <w:szCs w:val="16"/>
        </w:rPr>
      </w:pPr>
      <w:r w:rsidRPr="00A302D1">
        <w:rPr>
          <w:color w:val="auto"/>
          <w:sz w:val="16"/>
          <w:szCs w:val="16"/>
        </w:rPr>
        <w:t>Fig.2</w:t>
      </w:r>
    </w:p>
    <w:p w14:paraId="5CAECF38" w14:textId="05221E8E" w:rsidR="00107566" w:rsidRPr="00A302D1" w:rsidRDefault="00107566" w:rsidP="00AD7C78">
      <w:pPr>
        <w:pStyle w:val="ListParagraph"/>
        <w:numPr>
          <w:ilvl w:val="0"/>
          <w:numId w:val="5"/>
        </w:numPr>
        <w:ind w:hanging="502"/>
        <w:rPr>
          <w:color w:val="auto"/>
        </w:rPr>
      </w:pPr>
      <w:r w:rsidRPr="00A302D1">
        <w:rPr>
          <w:color w:val="auto"/>
        </w:rPr>
        <w:t xml:space="preserve">Overall, </w:t>
      </w:r>
      <w:r w:rsidR="00900B62" w:rsidRPr="00A302D1">
        <w:rPr>
          <w:color w:val="auto"/>
        </w:rPr>
        <w:t>81</w:t>
      </w:r>
      <w:r w:rsidRPr="00A302D1">
        <w:rPr>
          <w:color w:val="auto"/>
        </w:rPr>
        <w:t xml:space="preserve">% of the </w:t>
      </w:r>
      <w:r w:rsidR="00900B62" w:rsidRPr="00A302D1">
        <w:rPr>
          <w:color w:val="auto"/>
        </w:rPr>
        <w:t>L</w:t>
      </w:r>
      <w:r w:rsidR="00EC2C28" w:rsidRPr="00A302D1">
        <w:rPr>
          <w:color w:val="auto"/>
        </w:rPr>
        <w:t xml:space="preserve">atest </w:t>
      </w:r>
      <w:r w:rsidRPr="00A302D1">
        <w:rPr>
          <w:color w:val="auto"/>
        </w:rPr>
        <w:t xml:space="preserve">General Fund Capital </w:t>
      </w:r>
      <w:r w:rsidR="00900B62" w:rsidRPr="00A302D1">
        <w:rPr>
          <w:color w:val="auto"/>
        </w:rPr>
        <w:t>B</w:t>
      </w:r>
      <w:r w:rsidRPr="00A302D1">
        <w:rPr>
          <w:color w:val="auto"/>
        </w:rPr>
        <w:t xml:space="preserve">udget </w:t>
      </w:r>
      <w:r w:rsidR="00900B62" w:rsidRPr="00A302D1">
        <w:rPr>
          <w:color w:val="auto"/>
        </w:rPr>
        <w:t>was sp</w:t>
      </w:r>
      <w:r w:rsidRPr="00A302D1">
        <w:rPr>
          <w:color w:val="auto"/>
        </w:rPr>
        <w:t xml:space="preserve">ent </w:t>
      </w:r>
      <w:r w:rsidR="00900B62" w:rsidRPr="00A302D1">
        <w:rPr>
          <w:color w:val="auto"/>
        </w:rPr>
        <w:t xml:space="preserve">in </w:t>
      </w:r>
      <w:r w:rsidRPr="00A302D1">
        <w:rPr>
          <w:color w:val="auto"/>
        </w:rPr>
        <w:t>2024</w:t>
      </w:r>
      <w:r w:rsidR="00900B62" w:rsidRPr="00A302D1">
        <w:rPr>
          <w:color w:val="auto"/>
        </w:rPr>
        <w:t>/25</w:t>
      </w:r>
      <w:r w:rsidRPr="00A302D1">
        <w:rPr>
          <w:color w:val="auto"/>
        </w:rPr>
        <w:t xml:space="preserve">.  </w:t>
      </w:r>
    </w:p>
    <w:p w14:paraId="395070BC" w14:textId="77777777" w:rsidR="00107566" w:rsidRPr="00A302D1" w:rsidRDefault="00107566" w:rsidP="00107566">
      <w:pPr>
        <w:ind w:left="1276" w:hanging="490"/>
        <w:rPr>
          <w:color w:val="auto"/>
        </w:rPr>
      </w:pPr>
      <w:r w:rsidRPr="00A302D1">
        <w:rPr>
          <w:color w:val="auto"/>
          <w:u w:val="single"/>
        </w:rPr>
        <w:t>Project type key budgets</w:t>
      </w:r>
      <w:r w:rsidRPr="00A302D1">
        <w:rPr>
          <w:color w:val="auto"/>
        </w:rPr>
        <w:t>:</w:t>
      </w:r>
    </w:p>
    <w:p w14:paraId="5E01AA85"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Development</w:t>
      </w:r>
      <w:r w:rsidRPr="00A302D1">
        <w:rPr>
          <w:color w:val="auto"/>
          <w:u w:val="single"/>
        </w:rPr>
        <w:t xml:space="preserve"> </w:t>
      </w:r>
      <w:r w:rsidRPr="00A302D1">
        <w:rPr>
          <w:color w:val="auto"/>
        </w:rPr>
        <w:t xml:space="preserve">– Blackbird Leys Regeneration; East Oxford Community Centre; Covered Market; HIF and Growth Deal </w:t>
      </w:r>
      <w:proofErr w:type="spellStart"/>
      <w:r w:rsidRPr="00A302D1">
        <w:rPr>
          <w:color w:val="auto"/>
        </w:rPr>
        <w:t>Osney</w:t>
      </w:r>
      <w:proofErr w:type="spellEnd"/>
      <w:r w:rsidRPr="00A302D1">
        <w:rPr>
          <w:color w:val="auto"/>
        </w:rPr>
        <w:t xml:space="preserve"> Bridge works and Oxford Flood Alleviation Scheme (OFAS).</w:t>
      </w:r>
    </w:p>
    <w:p w14:paraId="00F7A270"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 xml:space="preserve">ICT </w:t>
      </w:r>
      <w:r w:rsidRPr="00A302D1">
        <w:rPr>
          <w:color w:val="auto"/>
        </w:rPr>
        <w:t>– MS365 and Cloud Migration; system upgrades</w:t>
      </w:r>
    </w:p>
    <w:p w14:paraId="371F484D"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Compliance</w:t>
      </w:r>
      <w:r w:rsidRPr="00A302D1">
        <w:rPr>
          <w:color w:val="auto"/>
        </w:rPr>
        <w:t xml:space="preserve"> -</w:t>
      </w:r>
      <w:r w:rsidRPr="00A302D1">
        <w:rPr>
          <w:color w:val="auto"/>
          <w:u w:val="single"/>
        </w:rPr>
        <w:t xml:space="preserve"> </w:t>
      </w:r>
      <w:r w:rsidRPr="00A302D1">
        <w:rPr>
          <w:color w:val="auto"/>
        </w:rPr>
        <w:t>Gloucester Green CP(H&amp;S); Old Gas Works Bridges &amp; Waterways.</w:t>
      </w:r>
    </w:p>
    <w:p w14:paraId="462592DB"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Project Other</w:t>
      </w:r>
      <w:r w:rsidRPr="00A302D1">
        <w:rPr>
          <w:color w:val="auto"/>
        </w:rPr>
        <w:t xml:space="preserve"> – Leisure Invest to Save and </w:t>
      </w:r>
      <w:proofErr w:type="spellStart"/>
      <w:r w:rsidRPr="00A302D1">
        <w:rPr>
          <w:color w:val="auto"/>
        </w:rPr>
        <w:t>Dilaps</w:t>
      </w:r>
      <w:proofErr w:type="spellEnd"/>
      <w:r w:rsidRPr="00A302D1">
        <w:rPr>
          <w:color w:val="auto"/>
        </w:rPr>
        <w:t xml:space="preserve"> </w:t>
      </w:r>
      <w:proofErr w:type="gramStart"/>
      <w:r w:rsidRPr="00A302D1">
        <w:rPr>
          <w:color w:val="auto"/>
        </w:rPr>
        <w:t>works;</w:t>
      </w:r>
      <w:proofErr w:type="gramEnd"/>
      <w:r w:rsidRPr="00A302D1">
        <w:rPr>
          <w:color w:val="auto"/>
        </w:rPr>
        <w:t xml:space="preserve"> numerous Capital M&amp;E works on City Centre Portfolio.  </w:t>
      </w:r>
    </w:p>
    <w:p w14:paraId="2A7FBB8B"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Rolling Programme</w:t>
      </w:r>
      <w:r w:rsidRPr="00A302D1">
        <w:rPr>
          <w:color w:val="auto"/>
        </w:rPr>
        <w:t xml:space="preserve"> – ODS Fleet Replacement Programme; Stock condition surveys; Planned Building Maintenance and Energy Efficiency Initiatives</w:t>
      </w:r>
    </w:p>
    <w:p w14:paraId="014A9120" w14:textId="3A2C597D"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Housing Co. Loans</w:t>
      </w:r>
      <w:r w:rsidRPr="00A302D1">
        <w:rPr>
          <w:color w:val="auto"/>
        </w:rPr>
        <w:t xml:space="preserve"> – both Barton Park and non-Barton Park Loans to </w:t>
      </w:r>
      <w:proofErr w:type="spellStart"/>
      <w:r w:rsidRPr="00A302D1">
        <w:rPr>
          <w:color w:val="auto"/>
        </w:rPr>
        <w:t>OxP</w:t>
      </w:r>
      <w:r w:rsidR="00EC2C28" w:rsidRPr="00A302D1">
        <w:rPr>
          <w:color w:val="auto"/>
        </w:rPr>
        <w:t>l</w:t>
      </w:r>
      <w:r w:rsidRPr="00A302D1">
        <w:rPr>
          <w:color w:val="auto"/>
        </w:rPr>
        <w:t>ace</w:t>
      </w:r>
      <w:proofErr w:type="spellEnd"/>
      <w:r w:rsidRPr="00A302D1">
        <w:rPr>
          <w:color w:val="auto"/>
        </w:rPr>
        <w:t>.</w:t>
      </w:r>
    </w:p>
    <w:p w14:paraId="24AE32FF" w14:textId="77777777" w:rsidR="00107566" w:rsidRPr="00A302D1" w:rsidRDefault="00107566" w:rsidP="007A7DA6">
      <w:pPr>
        <w:pStyle w:val="ListParagraph"/>
        <w:numPr>
          <w:ilvl w:val="0"/>
          <w:numId w:val="7"/>
        </w:numPr>
        <w:tabs>
          <w:tab w:val="clear" w:pos="426"/>
        </w:tabs>
        <w:ind w:left="1276" w:hanging="490"/>
        <w:rPr>
          <w:color w:val="auto"/>
        </w:rPr>
      </w:pPr>
      <w:r w:rsidRPr="00A302D1">
        <w:rPr>
          <w:b/>
          <w:bCs/>
          <w:color w:val="auto"/>
        </w:rPr>
        <w:t>Other Capital Spend</w:t>
      </w:r>
      <w:r w:rsidRPr="00A302D1">
        <w:rPr>
          <w:color w:val="auto"/>
        </w:rPr>
        <w:t xml:space="preserve"> - incudes Barton Park purchases; </w:t>
      </w:r>
      <w:proofErr w:type="spellStart"/>
      <w:r w:rsidRPr="00A302D1">
        <w:rPr>
          <w:color w:val="auto"/>
        </w:rPr>
        <w:t>OxWED</w:t>
      </w:r>
      <w:proofErr w:type="spellEnd"/>
      <w:r w:rsidRPr="00A302D1">
        <w:rPr>
          <w:color w:val="auto"/>
        </w:rPr>
        <w:t xml:space="preserve"> loans; Oxford North </w:t>
      </w:r>
      <w:proofErr w:type="gramStart"/>
      <w:r w:rsidRPr="00A302D1">
        <w:rPr>
          <w:color w:val="auto"/>
        </w:rPr>
        <w:t>Development;  Cowley</w:t>
      </w:r>
      <w:proofErr w:type="gramEnd"/>
      <w:r w:rsidRPr="00A302D1">
        <w:rPr>
          <w:color w:val="auto"/>
        </w:rPr>
        <w:t xml:space="preserve"> Branch Line; Affordable Housing Supply and Disabled Facilities Grants.</w:t>
      </w:r>
    </w:p>
    <w:p w14:paraId="49E72738" w14:textId="77777777" w:rsidR="00107566" w:rsidRPr="00A302D1" w:rsidRDefault="00107566" w:rsidP="00107566">
      <w:pPr>
        <w:rPr>
          <w:color w:val="auto"/>
        </w:rPr>
      </w:pPr>
    </w:p>
    <w:p w14:paraId="4876F508" w14:textId="77777777" w:rsidR="00F33A7B" w:rsidRDefault="00F33A7B" w:rsidP="006A6BF4">
      <w:pPr>
        <w:ind w:left="1276" w:hanging="490"/>
        <w:rPr>
          <w:color w:val="auto"/>
        </w:rPr>
      </w:pPr>
    </w:p>
    <w:p w14:paraId="53171F09" w14:textId="77777777" w:rsidR="00F33A7B" w:rsidRDefault="00F33A7B" w:rsidP="006A6BF4">
      <w:pPr>
        <w:ind w:left="1276" w:hanging="490"/>
        <w:rPr>
          <w:color w:val="auto"/>
        </w:rPr>
      </w:pPr>
    </w:p>
    <w:p w14:paraId="43D878BB" w14:textId="1E5F8FAA" w:rsidR="00107566" w:rsidRPr="00A302D1" w:rsidRDefault="00973803" w:rsidP="006A6BF4">
      <w:pPr>
        <w:ind w:left="1276" w:hanging="490"/>
        <w:rPr>
          <w:color w:val="auto"/>
        </w:rPr>
      </w:pPr>
      <w:r w:rsidRPr="00A302D1">
        <w:rPr>
          <w:color w:val="auto"/>
        </w:rPr>
        <w:lastRenderedPageBreak/>
        <w:t>Significant variances for 2024/25</w:t>
      </w:r>
      <w:r w:rsidR="00107566" w:rsidRPr="00A302D1">
        <w:rPr>
          <w:color w:val="auto"/>
        </w:rPr>
        <w:t xml:space="preserve"> include:</w:t>
      </w:r>
    </w:p>
    <w:p w14:paraId="5E5762C6" w14:textId="77777777" w:rsidR="00B404E9" w:rsidRPr="00A302D1" w:rsidRDefault="00973803" w:rsidP="007A7DA6">
      <w:pPr>
        <w:pStyle w:val="ListParagraph"/>
        <w:numPr>
          <w:ilvl w:val="0"/>
          <w:numId w:val="7"/>
        </w:numPr>
        <w:tabs>
          <w:tab w:val="clear" w:pos="426"/>
        </w:tabs>
        <w:ind w:left="1276" w:hanging="490"/>
      </w:pPr>
      <w:proofErr w:type="spellStart"/>
      <w:r w:rsidRPr="00A302D1">
        <w:rPr>
          <w:b/>
          <w:bCs/>
        </w:rPr>
        <w:t>Osney</w:t>
      </w:r>
      <w:proofErr w:type="spellEnd"/>
      <w:r w:rsidRPr="00A302D1">
        <w:rPr>
          <w:b/>
          <w:bCs/>
        </w:rPr>
        <w:t xml:space="preserve"> Mead Path Works (HIF) &amp; </w:t>
      </w:r>
      <w:proofErr w:type="spellStart"/>
      <w:r w:rsidRPr="00A302D1">
        <w:rPr>
          <w:b/>
          <w:bCs/>
        </w:rPr>
        <w:t>Osney</w:t>
      </w:r>
      <w:proofErr w:type="spellEnd"/>
      <w:r w:rsidRPr="00A302D1">
        <w:rPr>
          <w:b/>
          <w:bCs/>
        </w:rPr>
        <w:t xml:space="preserve"> Mead Bridge (Growth Deal) </w:t>
      </w:r>
      <w:r w:rsidRPr="00A302D1">
        <w:t xml:space="preserve">– £1.758m </w:t>
      </w:r>
      <w:r w:rsidR="006B110D" w:rsidRPr="00A302D1">
        <w:t>slippage</w:t>
      </w:r>
      <w:r w:rsidRPr="00A302D1">
        <w:t xml:space="preserve">. These projects have been delayed into 2025/26 due to Judicial Review. </w:t>
      </w:r>
      <w:r w:rsidR="00B404E9" w:rsidRPr="00A302D1">
        <w:t>A decision was received on 10 March 2025 however an appeal process can occur. Funding remains in place despite the delays.</w:t>
      </w:r>
    </w:p>
    <w:p w14:paraId="6E057609" w14:textId="49B03C34" w:rsidR="006B110D" w:rsidRPr="00A302D1" w:rsidRDefault="006B110D" w:rsidP="007A7DA6">
      <w:pPr>
        <w:pStyle w:val="ListParagraph"/>
        <w:numPr>
          <w:ilvl w:val="0"/>
          <w:numId w:val="7"/>
        </w:numPr>
        <w:tabs>
          <w:tab w:val="clear" w:pos="426"/>
        </w:tabs>
        <w:ind w:left="1276" w:hanging="490"/>
      </w:pPr>
      <w:r w:rsidRPr="00A302D1">
        <w:rPr>
          <w:b/>
          <w:bCs/>
        </w:rPr>
        <w:t>Council salary costs able to be capitalised</w:t>
      </w:r>
      <w:r w:rsidRPr="00A302D1">
        <w:t xml:space="preserve"> - £1.57</w:t>
      </w:r>
      <w:r w:rsidR="00B404E9" w:rsidRPr="00A302D1">
        <w:t>2</w:t>
      </w:r>
      <w:r w:rsidRPr="00A302D1">
        <w:t xml:space="preserve">m variance. </w:t>
      </w:r>
      <w:r w:rsidR="00B404E9" w:rsidRPr="00A302D1">
        <w:t xml:space="preserve">This is a rolling programme of work to support a variety of </w:t>
      </w:r>
      <w:proofErr w:type="gramStart"/>
      <w:r w:rsidR="00B404E9" w:rsidRPr="00A302D1">
        <w:t>projects</w:t>
      </w:r>
      <w:proofErr w:type="gramEnd"/>
      <w:r w:rsidR="00B404E9" w:rsidRPr="00A302D1">
        <w:t xml:space="preserve"> and the variance is due to a reduced level of capitalizable staff costs in 2024-25.</w:t>
      </w:r>
    </w:p>
    <w:p w14:paraId="21ACE4E0" w14:textId="4296B6BF" w:rsidR="00973803" w:rsidRPr="00A302D1" w:rsidRDefault="00107566" w:rsidP="007A7DA6">
      <w:pPr>
        <w:pStyle w:val="ListParagraph"/>
        <w:numPr>
          <w:ilvl w:val="0"/>
          <w:numId w:val="7"/>
        </w:numPr>
        <w:tabs>
          <w:tab w:val="clear" w:pos="426"/>
        </w:tabs>
        <w:ind w:left="1276" w:hanging="490"/>
      </w:pPr>
      <w:r w:rsidRPr="00A302D1">
        <w:rPr>
          <w:b/>
          <w:bCs/>
          <w:color w:val="auto"/>
        </w:rPr>
        <w:t>Housing</w:t>
      </w:r>
      <w:r w:rsidRPr="00A302D1">
        <w:rPr>
          <w:b/>
          <w:bCs/>
        </w:rPr>
        <w:t xml:space="preserve"> Company Loans </w:t>
      </w:r>
      <w:r w:rsidRPr="00A302D1">
        <w:t>- £</w:t>
      </w:r>
      <w:r w:rsidR="00973803" w:rsidRPr="00A302D1">
        <w:t>1.50</w:t>
      </w:r>
      <w:r w:rsidRPr="00A302D1">
        <w:t xml:space="preserve">m </w:t>
      </w:r>
      <w:r w:rsidR="00973803" w:rsidRPr="00A302D1">
        <w:t>variance. The latest budget was estimated in case the planned receipts the company was expecting to receive in March 2025 did not materialise. Receipts did materialise therefore there was no need to draw down any loans at the end of 2024/25.</w:t>
      </w:r>
    </w:p>
    <w:p w14:paraId="39DF6F0A" w14:textId="15AB7798" w:rsidR="00973803" w:rsidRPr="00A302D1" w:rsidRDefault="00973803" w:rsidP="007A7DA6">
      <w:pPr>
        <w:pStyle w:val="ListParagraph"/>
        <w:numPr>
          <w:ilvl w:val="0"/>
          <w:numId w:val="7"/>
        </w:numPr>
        <w:tabs>
          <w:tab w:val="clear" w:pos="426"/>
        </w:tabs>
        <w:ind w:left="1276" w:hanging="490"/>
        <w:rPr>
          <w:color w:val="auto"/>
        </w:rPr>
      </w:pPr>
      <w:r w:rsidRPr="00A302D1">
        <w:rPr>
          <w:b/>
          <w:bCs/>
          <w:color w:val="auto"/>
        </w:rPr>
        <w:t xml:space="preserve">IT Projects </w:t>
      </w:r>
      <w:r w:rsidRPr="00A302D1">
        <w:rPr>
          <w:color w:val="auto"/>
        </w:rPr>
        <w:t>- £0.713m variance across projects for ‘</w:t>
      </w:r>
      <w:proofErr w:type="spellStart"/>
      <w:r w:rsidRPr="00A302D1">
        <w:rPr>
          <w:color w:val="auto"/>
        </w:rPr>
        <w:t>I</w:t>
      </w:r>
      <w:r w:rsidR="00B404E9" w:rsidRPr="00A302D1">
        <w:rPr>
          <w:color w:val="auto"/>
        </w:rPr>
        <w:t>nformation</w:t>
      </w:r>
      <w:r w:rsidRPr="00A302D1">
        <w:rPr>
          <w:color w:val="auto"/>
        </w:rPr>
        <w:t>@W</w:t>
      </w:r>
      <w:r w:rsidR="00B404E9" w:rsidRPr="00A302D1">
        <w:rPr>
          <w:color w:val="auto"/>
        </w:rPr>
        <w:t>ork</w:t>
      </w:r>
      <w:proofErr w:type="spellEnd"/>
      <w:r w:rsidRPr="00A302D1">
        <w:rPr>
          <w:color w:val="auto"/>
        </w:rPr>
        <w:t>’</w:t>
      </w:r>
      <w:r w:rsidR="00B404E9" w:rsidRPr="00A302D1">
        <w:rPr>
          <w:color w:val="auto"/>
        </w:rPr>
        <w:t xml:space="preserve"> system</w:t>
      </w:r>
      <w:r w:rsidRPr="00A302D1">
        <w:rPr>
          <w:color w:val="auto"/>
        </w:rPr>
        <w:t xml:space="preserve"> renewal/ replacement £0.254m; ICT Feasibility £0.180m; online forms </w:t>
      </w:r>
      <w:proofErr w:type="gramStart"/>
      <w:r w:rsidRPr="00A302D1">
        <w:rPr>
          <w:color w:val="auto"/>
        </w:rPr>
        <w:t>development  £</w:t>
      </w:r>
      <w:proofErr w:type="gramEnd"/>
      <w:r w:rsidRPr="00A302D1">
        <w:rPr>
          <w:color w:val="auto"/>
        </w:rPr>
        <w:t>0.151m; desktop/laptop renewal £0.112m.</w:t>
      </w:r>
    </w:p>
    <w:p w14:paraId="4849C3EB" w14:textId="716BBF5B" w:rsidR="00973803" w:rsidRPr="00A302D1" w:rsidRDefault="00973803" w:rsidP="007A7DA6">
      <w:pPr>
        <w:pStyle w:val="ListParagraph"/>
        <w:numPr>
          <w:ilvl w:val="0"/>
          <w:numId w:val="7"/>
        </w:numPr>
        <w:tabs>
          <w:tab w:val="clear" w:pos="426"/>
        </w:tabs>
        <w:ind w:left="1276" w:hanging="490"/>
        <w:rPr>
          <w:color w:val="auto"/>
        </w:rPr>
      </w:pPr>
      <w:r w:rsidRPr="00A302D1">
        <w:rPr>
          <w:b/>
          <w:bCs/>
          <w:color w:val="auto"/>
        </w:rPr>
        <w:t>Go Ultra Low Oxford-On Street</w:t>
      </w:r>
      <w:r w:rsidRPr="00A302D1">
        <w:rPr>
          <w:color w:val="auto"/>
        </w:rPr>
        <w:t xml:space="preserve"> - £0.495m slippage</w:t>
      </w:r>
      <w:r w:rsidR="00B404E9" w:rsidRPr="00A302D1">
        <w:rPr>
          <w:color w:val="auto"/>
        </w:rPr>
        <w:t>.</w:t>
      </w:r>
      <w:r w:rsidRPr="00A302D1">
        <w:rPr>
          <w:color w:val="auto"/>
        </w:rPr>
        <w:t xml:space="preserve"> </w:t>
      </w:r>
      <w:r w:rsidR="00B404E9" w:rsidRPr="00A302D1">
        <w:rPr>
          <w:color w:val="auto"/>
        </w:rPr>
        <w:t>The project and payment to Oxfordshire County Council is delayed into 2025-26.</w:t>
      </w:r>
    </w:p>
    <w:p w14:paraId="76FCEA46" w14:textId="271E1FA1" w:rsidR="00B404E9" w:rsidRPr="00A302D1" w:rsidRDefault="00B404E9" w:rsidP="007A7DA6">
      <w:pPr>
        <w:pStyle w:val="ListParagraph"/>
        <w:numPr>
          <w:ilvl w:val="0"/>
          <w:numId w:val="7"/>
        </w:numPr>
        <w:tabs>
          <w:tab w:val="clear" w:pos="426"/>
        </w:tabs>
        <w:ind w:left="1276" w:hanging="490"/>
        <w:rPr>
          <w:color w:val="auto"/>
        </w:rPr>
      </w:pPr>
      <w:r w:rsidRPr="00A302D1">
        <w:rPr>
          <w:b/>
          <w:bCs/>
          <w:color w:val="auto"/>
        </w:rPr>
        <w:t xml:space="preserve">Planned Building Improvements </w:t>
      </w:r>
      <w:r w:rsidRPr="00A302D1">
        <w:rPr>
          <w:color w:val="auto"/>
        </w:rPr>
        <w:t xml:space="preserve">- £0.372 million – this is due to a reduced level of </w:t>
      </w:r>
      <w:proofErr w:type="spellStart"/>
      <w:r w:rsidRPr="00A302D1">
        <w:rPr>
          <w:color w:val="auto"/>
        </w:rPr>
        <w:t>capitalisable</w:t>
      </w:r>
      <w:proofErr w:type="spellEnd"/>
      <w:r w:rsidRPr="00A302D1">
        <w:rPr>
          <w:color w:val="auto"/>
        </w:rPr>
        <w:t xml:space="preserve"> maintenance costs in 2024-25 compared to budget. This is a rolling programme of </w:t>
      </w:r>
      <w:proofErr w:type="gramStart"/>
      <w:r w:rsidRPr="00A302D1">
        <w:rPr>
          <w:color w:val="auto"/>
        </w:rPr>
        <w:t>work</w:t>
      </w:r>
      <w:proofErr w:type="gramEnd"/>
      <w:r w:rsidRPr="00A302D1">
        <w:rPr>
          <w:color w:val="auto"/>
        </w:rPr>
        <w:t xml:space="preserve"> and the costs will be incurred in future years</w:t>
      </w:r>
    </w:p>
    <w:p w14:paraId="7C4050AB" w14:textId="40A1D8A5" w:rsidR="006B110D" w:rsidRPr="00A302D1" w:rsidRDefault="006B110D" w:rsidP="007A7DA6">
      <w:pPr>
        <w:pStyle w:val="ListParagraph"/>
        <w:numPr>
          <w:ilvl w:val="0"/>
          <w:numId w:val="7"/>
        </w:numPr>
        <w:tabs>
          <w:tab w:val="clear" w:pos="426"/>
        </w:tabs>
        <w:ind w:left="1276" w:hanging="490"/>
      </w:pPr>
      <w:r w:rsidRPr="00A302D1">
        <w:rPr>
          <w:b/>
          <w:bCs/>
        </w:rPr>
        <w:t>UK Shared Prosperity Fund Investment Plan</w:t>
      </w:r>
      <w:r w:rsidRPr="00A302D1">
        <w:t xml:space="preserve"> - £0.372</w:t>
      </w:r>
      <w:r w:rsidR="00B404E9" w:rsidRPr="00A302D1">
        <w:t>m</w:t>
      </w:r>
      <w:r w:rsidRPr="00A302D1">
        <w:t xml:space="preserve"> </w:t>
      </w:r>
      <w:r w:rsidR="00B404E9" w:rsidRPr="00A302D1">
        <w:t>un</w:t>
      </w:r>
      <w:r w:rsidRPr="00A302D1">
        <w:t xml:space="preserve">spent budget to be </w:t>
      </w:r>
      <w:proofErr w:type="spellStart"/>
      <w:r w:rsidRPr="00A302D1">
        <w:t>vired</w:t>
      </w:r>
      <w:proofErr w:type="spellEnd"/>
      <w:r w:rsidRPr="00A302D1">
        <w:t xml:space="preserve"> to Covered Market Masterplan </w:t>
      </w:r>
      <w:r w:rsidR="00B404E9" w:rsidRPr="00A302D1">
        <w:t xml:space="preserve">programme </w:t>
      </w:r>
      <w:r w:rsidRPr="00A302D1">
        <w:t>in 2025/26.</w:t>
      </w:r>
    </w:p>
    <w:p w14:paraId="0D2700B1" w14:textId="2C3081B4" w:rsidR="006B110D" w:rsidRPr="00A302D1" w:rsidRDefault="006B110D" w:rsidP="007A7DA6">
      <w:pPr>
        <w:pStyle w:val="ListParagraph"/>
        <w:numPr>
          <w:ilvl w:val="0"/>
          <w:numId w:val="7"/>
        </w:numPr>
        <w:tabs>
          <w:tab w:val="clear" w:pos="426"/>
        </w:tabs>
        <w:ind w:left="1276" w:hanging="490"/>
      </w:pPr>
      <w:r w:rsidRPr="00A302D1">
        <w:rPr>
          <w:b/>
          <w:bCs/>
        </w:rPr>
        <w:t>Gloucester Green car park</w:t>
      </w:r>
      <w:r w:rsidRPr="00A302D1">
        <w:t xml:space="preserve"> - £0.319m </w:t>
      </w:r>
      <w:r w:rsidR="00B404E9" w:rsidRPr="00A302D1">
        <w:t>unspent budget; the project is complete with all costs incurred.</w:t>
      </w:r>
    </w:p>
    <w:p w14:paraId="19C8EB6E" w14:textId="7B684A39" w:rsidR="006B110D" w:rsidRPr="00A302D1" w:rsidRDefault="006B110D" w:rsidP="007A7DA6">
      <w:pPr>
        <w:pStyle w:val="ListParagraph"/>
        <w:numPr>
          <w:ilvl w:val="0"/>
          <w:numId w:val="7"/>
        </w:numPr>
        <w:tabs>
          <w:tab w:val="clear" w:pos="426"/>
        </w:tabs>
        <w:ind w:left="1276" w:hanging="490"/>
      </w:pPr>
      <w:r w:rsidRPr="00A302D1">
        <w:rPr>
          <w:b/>
          <w:bCs/>
        </w:rPr>
        <w:t>Old Gas Works Bridge</w:t>
      </w:r>
      <w:r w:rsidRPr="00A302D1">
        <w:t xml:space="preserve"> - £0.313m slippage into 2025/26 for retention payments remaining due</w:t>
      </w:r>
    </w:p>
    <w:p w14:paraId="190FAC7F" w14:textId="77777777" w:rsidR="00107566" w:rsidRPr="00A302D1" w:rsidRDefault="00107566" w:rsidP="00107566">
      <w:pPr>
        <w:pStyle w:val="ListParagraph"/>
        <w:tabs>
          <w:tab w:val="clear" w:pos="426"/>
          <w:tab w:val="left" w:pos="1701"/>
        </w:tabs>
        <w:ind w:left="709"/>
      </w:pPr>
    </w:p>
    <w:p w14:paraId="0959482D" w14:textId="5CD6AB3B" w:rsidR="00107566" w:rsidRPr="00A302D1" w:rsidRDefault="00107566" w:rsidP="00AD7C78">
      <w:pPr>
        <w:pStyle w:val="Heading1"/>
        <w:spacing w:before="0"/>
        <w:rPr>
          <w:color w:val="auto"/>
        </w:rPr>
      </w:pPr>
      <w:r w:rsidRPr="00A302D1">
        <w:rPr>
          <w:color w:val="auto"/>
        </w:rPr>
        <w:t>HRA</w:t>
      </w:r>
      <w:r w:rsidR="00F33A7B">
        <w:rPr>
          <w:color w:val="auto"/>
        </w:rPr>
        <w:t xml:space="preserve"> Capital</w:t>
      </w:r>
    </w:p>
    <w:p w14:paraId="41329720" w14:textId="39E5BC09" w:rsidR="00107566" w:rsidRPr="00A302D1" w:rsidRDefault="00107566" w:rsidP="00107566">
      <w:pPr>
        <w:pStyle w:val="ListParagraph"/>
        <w:numPr>
          <w:ilvl w:val="0"/>
          <w:numId w:val="5"/>
        </w:numPr>
        <w:tabs>
          <w:tab w:val="clear" w:pos="426"/>
        </w:tabs>
        <w:ind w:left="709" w:hanging="567"/>
        <w:rPr>
          <w:color w:val="auto"/>
        </w:rPr>
      </w:pPr>
      <w:r w:rsidRPr="00A302D1">
        <w:rPr>
          <w:color w:val="auto"/>
        </w:rPr>
        <w:t>A summary of the HRA schemes by project type is shown in Fig.3 below</w:t>
      </w:r>
      <w:r w:rsidR="00EA2AB8" w:rsidRPr="00A302D1">
        <w:rPr>
          <w:color w:val="auto"/>
        </w:rPr>
        <w:t>. T</w:t>
      </w:r>
      <w:r w:rsidRPr="00A302D1">
        <w:rPr>
          <w:color w:val="auto"/>
        </w:rPr>
        <w:t xml:space="preserve">his shows </w:t>
      </w:r>
      <w:r w:rsidR="00EA2AB8" w:rsidRPr="00A302D1">
        <w:rPr>
          <w:color w:val="auto"/>
        </w:rPr>
        <w:t>that the Project - Other element accounts for approximately 50% of the programme and relates to works required which have been included in the new programme model including items such as Fire Safety, Structural works and decency (damp and mould, etc.).</w:t>
      </w:r>
      <w:r w:rsidRPr="00A302D1">
        <w:rPr>
          <w:color w:val="auto"/>
        </w:rPr>
        <w:t xml:space="preserve">The </w:t>
      </w:r>
      <w:r w:rsidR="00EA2AB8" w:rsidRPr="00A302D1">
        <w:rPr>
          <w:color w:val="auto"/>
        </w:rPr>
        <w:t xml:space="preserve">next most </w:t>
      </w:r>
      <w:r w:rsidRPr="00A302D1">
        <w:rPr>
          <w:color w:val="auto"/>
        </w:rPr>
        <w:t>significant element</w:t>
      </w:r>
      <w:r w:rsidR="00EA2AB8" w:rsidRPr="00A302D1">
        <w:rPr>
          <w:color w:val="auto"/>
        </w:rPr>
        <w:t>, 35%,</w:t>
      </w:r>
      <w:r w:rsidRPr="00A302D1">
        <w:rPr>
          <w:color w:val="auto"/>
        </w:rPr>
        <w:t xml:space="preserve"> of the HRA capital programme is the Other Capital Spend classification</w:t>
      </w:r>
      <w:r w:rsidR="00EA2AB8" w:rsidRPr="00A302D1">
        <w:rPr>
          <w:color w:val="auto"/>
        </w:rPr>
        <w:t xml:space="preserve">; </w:t>
      </w:r>
      <w:r w:rsidRPr="00A302D1">
        <w:rPr>
          <w:color w:val="auto"/>
        </w:rPr>
        <w:t xml:space="preserve">these schemes relate to acquisitions and developments. </w:t>
      </w:r>
      <w:r w:rsidR="00EA2AB8" w:rsidRPr="00A302D1">
        <w:rPr>
          <w:color w:val="auto"/>
        </w:rPr>
        <w:t>Approximately 8% of the capital programme is a rolling programme, for example kitchen and bathroom replacements, heating, and electrics etc.</w:t>
      </w:r>
    </w:p>
    <w:p w14:paraId="27B70A61" w14:textId="4E97E739" w:rsidR="00464D05" w:rsidRPr="00A302D1" w:rsidRDefault="00EA2AB8" w:rsidP="00107566">
      <w:pPr>
        <w:pStyle w:val="ListParagraph"/>
        <w:ind w:left="360"/>
        <w:rPr>
          <w:color w:val="auto"/>
          <w:sz w:val="16"/>
          <w:szCs w:val="16"/>
        </w:rPr>
      </w:pPr>
      <w:r w:rsidRPr="00A302D1">
        <w:rPr>
          <w:noProof/>
        </w:rPr>
        <w:lastRenderedPageBreak/>
        <w:drawing>
          <wp:inline distT="0" distB="0" distL="0" distR="0" wp14:anchorId="7857D0AA" wp14:editId="062941CF">
            <wp:extent cx="5904230" cy="1600835"/>
            <wp:effectExtent l="0" t="0" r="1270" b="0"/>
            <wp:docPr id="5557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230" cy="1600835"/>
                    </a:xfrm>
                    <a:prstGeom prst="rect">
                      <a:avLst/>
                    </a:prstGeom>
                    <a:noFill/>
                    <a:ln>
                      <a:noFill/>
                    </a:ln>
                  </pic:spPr>
                </pic:pic>
              </a:graphicData>
            </a:graphic>
          </wp:inline>
        </w:drawing>
      </w:r>
    </w:p>
    <w:p w14:paraId="43A6367A" w14:textId="6CBCF2AF" w:rsidR="00107566" w:rsidRPr="00A302D1" w:rsidRDefault="00107566" w:rsidP="00107566">
      <w:pPr>
        <w:pStyle w:val="ListParagraph"/>
        <w:ind w:left="360"/>
        <w:rPr>
          <w:color w:val="auto"/>
          <w:sz w:val="16"/>
          <w:szCs w:val="16"/>
        </w:rPr>
      </w:pPr>
      <w:r w:rsidRPr="00A302D1">
        <w:rPr>
          <w:color w:val="auto"/>
          <w:sz w:val="16"/>
          <w:szCs w:val="16"/>
        </w:rPr>
        <w:t>Fig.3</w:t>
      </w:r>
    </w:p>
    <w:p w14:paraId="650834C1" w14:textId="77777777" w:rsidR="00262A14" w:rsidRPr="00A302D1" w:rsidRDefault="00262A14" w:rsidP="00262A14">
      <w:pPr>
        <w:pStyle w:val="Bulletpoints"/>
        <w:numPr>
          <w:ilvl w:val="0"/>
          <w:numId w:val="0"/>
        </w:numPr>
        <w:ind w:left="720"/>
      </w:pPr>
      <w:r w:rsidRPr="00A302D1">
        <w:t>Significant variances for 2024/25 include:</w:t>
      </w:r>
    </w:p>
    <w:p w14:paraId="67A1A769" w14:textId="6C267FC6" w:rsidR="00262A14" w:rsidRPr="00A302D1" w:rsidRDefault="00262A14" w:rsidP="00262A14">
      <w:pPr>
        <w:pStyle w:val="Bulletpoints"/>
        <w:tabs>
          <w:tab w:val="clear" w:pos="993"/>
        </w:tabs>
      </w:pPr>
      <w:r w:rsidRPr="00A302D1">
        <w:rPr>
          <w:b/>
          <w:bCs/>
        </w:rPr>
        <w:t>HRA Capital Maintenance programme</w:t>
      </w:r>
      <w:r w:rsidRPr="00A302D1">
        <w:t xml:space="preserve"> - £7.214m underspend to budget. Any works not completed will be addressed within the new planned maintenance programme that commenced in 2025/26.</w:t>
      </w:r>
    </w:p>
    <w:p w14:paraId="7A47CC17" w14:textId="67C03869" w:rsidR="00262A14" w:rsidRPr="00A302D1" w:rsidRDefault="00262A14" w:rsidP="00262A14">
      <w:pPr>
        <w:pStyle w:val="Bulletpoints"/>
        <w:tabs>
          <w:tab w:val="clear" w:pos="993"/>
        </w:tabs>
      </w:pPr>
      <w:r w:rsidRPr="00A302D1">
        <w:rPr>
          <w:b/>
          <w:bCs/>
        </w:rPr>
        <w:t>Properties purchased from OCHL</w:t>
      </w:r>
      <w:r w:rsidRPr="00A302D1">
        <w:t xml:space="preserve"> - £0.995m underspend due to </w:t>
      </w:r>
      <w:r w:rsidR="00B404E9" w:rsidRPr="00A302D1">
        <w:t xml:space="preserve">slippage on </w:t>
      </w:r>
      <w:proofErr w:type="gramStart"/>
      <w:r w:rsidR="00B404E9" w:rsidRPr="00A302D1">
        <w:t>a number of</w:t>
      </w:r>
      <w:proofErr w:type="gramEnd"/>
      <w:r w:rsidR="00B404E9" w:rsidRPr="00A302D1">
        <w:t xml:space="preserve"> scheme</w:t>
      </w:r>
      <w:r w:rsidRPr="00A302D1">
        <w:t>s</w:t>
      </w:r>
    </w:p>
    <w:p w14:paraId="32BAB0BF" w14:textId="4B22DE4E" w:rsidR="00262A14" w:rsidRPr="00A302D1" w:rsidRDefault="00262A14" w:rsidP="00262A14">
      <w:pPr>
        <w:pStyle w:val="Bulletpoints"/>
        <w:tabs>
          <w:tab w:val="clear" w:pos="993"/>
        </w:tabs>
      </w:pPr>
      <w:r w:rsidRPr="00A302D1">
        <w:rPr>
          <w:b/>
          <w:bCs/>
        </w:rPr>
        <w:t>East Oxford development</w:t>
      </w:r>
      <w:r w:rsidRPr="00A302D1">
        <w:t xml:space="preserve"> - £0.809m slippage into 2025/26</w:t>
      </w:r>
    </w:p>
    <w:p w14:paraId="4F8DE83E" w14:textId="6EE38304" w:rsidR="00262A14" w:rsidRPr="00A302D1" w:rsidRDefault="00262A14" w:rsidP="00262A14">
      <w:pPr>
        <w:pStyle w:val="Bulletpoints"/>
        <w:tabs>
          <w:tab w:val="clear" w:pos="993"/>
        </w:tabs>
      </w:pPr>
      <w:r w:rsidRPr="00A302D1">
        <w:rPr>
          <w:b/>
          <w:bCs/>
        </w:rPr>
        <w:t>Oxford North Development</w:t>
      </w:r>
      <w:r w:rsidRPr="00A302D1">
        <w:t xml:space="preserve"> - £0.602m overspent as </w:t>
      </w:r>
      <w:proofErr w:type="gramStart"/>
      <w:r w:rsidRPr="00A302D1">
        <w:t>at</w:t>
      </w:r>
      <w:proofErr w:type="gramEnd"/>
      <w:r w:rsidRPr="00A302D1">
        <w:t xml:space="preserve"> 31 March 2025 </w:t>
      </w:r>
      <w:r w:rsidR="00B404E9" w:rsidRPr="00A302D1">
        <w:t>although the</w:t>
      </w:r>
      <w:r w:rsidRPr="00A302D1">
        <w:t xml:space="preserve"> overall programme cost </w:t>
      </w:r>
      <w:r w:rsidR="00B404E9" w:rsidRPr="00A302D1">
        <w:t>remains</w:t>
      </w:r>
      <w:r w:rsidRPr="00A302D1">
        <w:t xml:space="preserve"> on track</w:t>
      </w:r>
    </w:p>
    <w:p w14:paraId="3C494CB7" w14:textId="15C3A921" w:rsidR="00262A14" w:rsidRPr="00A302D1" w:rsidRDefault="00262A14" w:rsidP="00262A14">
      <w:pPr>
        <w:pStyle w:val="Bulletpoints"/>
        <w:tabs>
          <w:tab w:val="clear" w:pos="993"/>
        </w:tabs>
      </w:pPr>
      <w:r w:rsidRPr="00A302D1">
        <w:rPr>
          <w:b/>
          <w:bCs/>
        </w:rPr>
        <w:t>Next Steps Accommodation Programme</w:t>
      </w:r>
      <w:r w:rsidRPr="00A302D1">
        <w:t xml:space="preserve"> – £0.582m slippage into 2025/26</w:t>
      </w:r>
    </w:p>
    <w:p w14:paraId="4A064C82" w14:textId="5005A0F6" w:rsidR="00262A14" w:rsidRPr="00A302D1" w:rsidRDefault="00262A14" w:rsidP="00262A14">
      <w:pPr>
        <w:pStyle w:val="Bulletpoints"/>
        <w:tabs>
          <w:tab w:val="clear" w:pos="993"/>
        </w:tabs>
      </w:pPr>
      <w:r w:rsidRPr="00A302D1">
        <w:rPr>
          <w:b/>
          <w:bCs/>
        </w:rPr>
        <w:t>HRA Barton Acquisitions and Regeneration</w:t>
      </w:r>
      <w:r w:rsidRPr="00A302D1">
        <w:t xml:space="preserve"> - £0.524m slippage into 2025/26</w:t>
      </w:r>
    </w:p>
    <w:p w14:paraId="1D95BFF6" w14:textId="44046B32" w:rsidR="00B404E9" w:rsidRPr="00A302D1" w:rsidRDefault="00B404E9" w:rsidP="00B404E9">
      <w:pPr>
        <w:pStyle w:val="Bulletpoints"/>
      </w:pPr>
      <w:r w:rsidRPr="00A302D1">
        <w:rPr>
          <w:b/>
          <w:bCs/>
        </w:rPr>
        <w:t xml:space="preserve">Juniper </w:t>
      </w:r>
      <w:r w:rsidRPr="00A302D1">
        <w:t>- £</w:t>
      </w:r>
      <w:r w:rsidR="00372E96" w:rsidRPr="00A302D1">
        <w:t>0.</w:t>
      </w:r>
      <w:r w:rsidRPr="00A302D1">
        <w:t>385</w:t>
      </w:r>
      <w:r w:rsidR="00372E96" w:rsidRPr="00A302D1">
        <w:t>m</w:t>
      </w:r>
      <w:r w:rsidRPr="00A302D1">
        <w:t xml:space="preserve"> unspent; this scheme has been removed from the programme</w:t>
      </w:r>
    </w:p>
    <w:p w14:paraId="46F0ED8B" w14:textId="77777777" w:rsidR="006D583C" w:rsidRPr="00240FF5" w:rsidRDefault="006D583C" w:rsidP="006D583C">
      <w:pPr>
        <w:pStyle w:val="Heading1"/>
        <w:rPr>
          <w:color w:val="auto"/>
        </w:rPr>
      </w:pPr>
      <w:r w:rsidRPr="00240FF5">
        <w:rPr>
          <w:color w:val="auto"/>
        </w:rPr>
        <w:t>Financial implications</w:t>
      </w:r>
    </w:p>
    <w:p w14:paraId="23D5D56C" w14:textId="1962228B" w:rsidR="004F260A" w:rsidRPr="006C0662" w:rsidRDefault="0BAE341F" w:rsidP="00BC1A47">
      <w:pPr>
        <w:pStyle w:val="ListParagraph"/>
        <w:numPr>
          <w:ilvl w:val="0"/>
          <w:numId w:val="5"/>
        </w:numPr>
        <w:tabs>
          <w:tab w:val="clear" w:pos="426"/>
        </w:tabs>
        <w:ind w:hanging="644"/>
        <w:rPr>
          <w:color w:val="auto"/>
        </w:rPr>
      </w:pPr>
      <w:r w:rsidRPr="006C0662">
        <w:rPr>
          <w:color w:val="auto"/>
        </w:rPr>
        <w:t>All financial implications are covered in the body of this report and the Appendices</w:t>
      </w:r>
      <w:r w:rsidR="105F655E" w:rsidRPr="006C0662">
        <w:rPr>
          <w:color w:val="auto"/>
        </w:rPr>
        <w:t>.</w:t>
      </w:r>
    </w:p>
    <w:p w14:paraId="5D696799" w14:textId="77777777" w:rsidR="0040736F" w:rsidRPr="00240FF5" w:rsidRDefault="00DA614B" w:rsidP="004A6D2F">
      <w:pPr>
        <w:pStyle w:val="Heading1"/>
        <w:rPr>
          <w:color w:val="auto"/>
        </w:rPr>
      </w:pPr>
      <w:r w:rsidRPr="00240FF5">
        <w:rPr>
          <w:color w:val="auto"/>
        </w:rPr>
        <w:t>Legal issues</w:t>
      </w:r>
    </w:p>
    <w:p w14:paraId="2FB850D8" w14:textId="0A21177F" w:rsidR="00E87F7A" w:rsidRPr="00927F20" w:rsidRDefault="23567AEC" w:rsidP="00BC1A47">
      <w:pPr>
        <w:pStyle w:val="ListParagraph"/>
        <w:numPr>
          <w:ilvl w:val="0"/>
          <w:numId w:val="5"/>
        </w:numPr>
        <w:tabs>
          <w:tab w:val="clear" w:pos="426"/>
        </w:tabs>
        <w:ind w:hanging="644"/>
        <w:rPr>
          <w:color w:val="auto"/>
        </w:rPr>
      </w:pPr>
      <w:r w:rsidRPr="00927F20">
        <w:rPr>
          <w:color w:val="auto"/>
        </w:rPr>
        <w:t xml:space="preserve">There are no legal implications </w:t>
      </w:r>
      <w:r w:rsidR="00D04C25" w:rsidRPr="00927F20">
        <w:rPr>
          <w:color w:val="auto"/>
        </w:rPr>
        <w:t xml:space="preserve">arising </w:t>
      </w:r>
      <w:r w:rsidRPr="00927F20">
        <w:rPr>
          <w:color w:val="auto"/>
        </w:rPr>
        <w:t xml:space="preserve">directly </w:t>
      </w:r>
      <w:r w:rsidR="00D04C25" w:rsidRPr="00927F20">
        <w:rPr>
          <w:color w:val="auto"/>
        </w:rPr>
        <w:t>from</w:t>
      </w:r>
      <w:r w:rsidRPr="00927F20">
        <w:rPr>
          <w:color w:val="auto"/>
        </w:rPr>
        <w:t xml:space="preserve"> this report</w:t>
      </w:r>
      <w:r w:rsidR="1EE867A8" w:rsidRPr="00927F20">
        <w:rPr>
          <w:color w:val="auto"/>
        </w:rPr>
        <w:t>.</w:t>
      </w:r>
    </w:p>
    <w:p w14:paraId="6A5BD3B3" w14:textId="7B233BB4" w:rsidR="00BC69A4" w:rsidRPr="00240FF5" w:rsidRDefault="002329CF" w:rsidP="3DF339A6">
      <w:pPr>
        <w:pStyle w:val="Heading1"/>
        <w:rPr>
          <w:color w:val="auto"/>
        </w:rPr>
      </w:pPr>
      <w:r w:rsidRPr="3DF339A6">
        <w:rPr>
          <w:color w:val="auto"/>
        </w:rPr>
        <w:t>Level of risk</w:t>
      </w:r>
    </w:p>
    <w:p w14:paraId="68EDCF47" w14:textId="4097C01F" w:rsidR="00BC69A4" w:rsidRPr="006C0662" w:rsidRDefault="23567AEC" w:rsidP="00BC1A47">
      <w:pPr>
        <w:pStyle w:val="Heading1"/>
        <w:numPr>
          <w:ilvl w:val="0"/>
          <w:numId w:val="5"/>
        </w:numPr>
        <w:ind w:hanging="644"/>
        <w:rPr>
          <w:b w:val="0"/>
          <w:color w:val="auto"/>
        </w:rPr>
      </w:pPr>
      <w:r w:rsidRPr="006C0662">
        <w:rPr>
          <w:b w:val="0"/>
          <w:color w:val="auto"/>
        </w:rPr>
        <w:t>All risk implications are covered in the body of this report and the Appendices.</w:t>
      </w:r>
    </w:p>
    <w:p w14:paraId="0635CA09" w14:textId="77777777" w:rsidR="002329CF" w:rsidRPr="00240FF5" w:rsidRDefault="002329CF" w:rsidP="0050321C">
      <w:pPr>
        <w:pStyle w:val="Heading1"/>
        <w:rPr>
          <w:color w:val="auto"/>
        </w:rPr>
      </w:pPr>
      <w:r w:rsidRPr="00240FF5">
        <w:rPr>
          <w:color w:val="auto"/>
        </w:rPr>
        <w:t xml:space="preserve">Equalities impact </w:t>
      </w:r>
    </w:p>
    <w:p w14:paraId="58947CAE" w14:textId="6F3C177D" w:rsidR="00E206D6" w:rsidRPr="00927F20" w:rsidRDefault="23567AEC" w:rsidP="00BC1A47">
      <w:pPr>
        <w:pStyle w:val="ListParagraph"/>
        <w:numPr>
          <w:ilvl w:val="0"/>
          <w:numId w:val="5"/>
        </w:numPr>
        <w:tabs>
          <w:tab w:val="clear" w:pos="426"/>
        </w:tabs>
        <w:ind w:hanging="644"/>
        <w:rPr>
          <w:color w:val="auto"/>
        </w:rPr>
      </w:pPr>
      <w:r w:rsidRPr="00927F20">
        <w:rPr>
          <w:color w:val="auto"/>
        </w:rPr>
        <w:t>There are no equalities impacts arising directly from this report.</w:t>
      </w:r>
    </w:p>
    <w:p w14:paraId="53800F01" w14:textId="2E1B453E" w:rsidR="005E11ED" w:rsidRPr="00240FF5" w:rsidRDefault="005E11ED">
      <w:pPr>
        <w:spacing w:after="0"/>
        <w:rPr>
          <w:color w:val="auto"/>
          <w:highlight w:val="yellow"/>
        </w:rPr>
      </w:pPr>
    </w:p>
    <w:p w14:paraId="6BDF670E" w14:textId="77777777" w:rsidR="002329CF" w:rsidRDefault="002329CF" w:rsidP="004A6D2F">
      <w:pPr>
        <w:rPr>
          <w:color w:val="FF0000"/>
          <w:highlight w:val="yellow"/>
        </w:rPr>
      </w:pPr>
    </w:p>
    <w:p w14:paraId="786EA02D" w14:textId="77777777" w:rsidR="00F33A7B" w:rsidRDefault="00F33A7B" w:rsidP="004A6D2F">
      <w:pPr>
        <w:rPr>
          <w:color w:val="FF0000"/>
          <w:highlight w:val="yellow"/>
        </w:rPr>
      </w:pPr>
    </w:p>
    <w:p w14:paraId="7DDE90AE" w14:textId="77777777" w:rsidR="00F33A7B" w:rsidRDefault="00F33A7B" w:rsidP="004A6D2F">
      <w:pPr>
        <w:rPr>
          <w:color w:val="FF0000"/>
          <w:highlight w:val="yellow"/>
        </w:rPr>
      </w:pPr>
    </w:p>
    <w:p w14:paraId="2E93DDED" w14:textId="77777777" w:rsidR="00F33A7B" w:rsidRDefault="00F33A7B" w:rsidP="004A6D2F">
      <w:pPr>
        <w:rPr>
          <w:color w:val="FF0000"/>
          <w:highlight w:val="yellow"/>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4E0E5B" w:rsidRPr="00240FF5" w14:paraId="3F3F1C2B" w14:textId="77777777" w:rsidTr="197BAE22">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72CC7380" w14:textId="642CAF65" w:rsidR="00E87F7A" w:rsidRPr="00240FF5" w:rsidRDefault="00E87F7A" w:rsidP="00A46E98">
            <w:pPr>
              <w:rPr>
                <w:b/>
                <w:color w:val="auto"/>
              </w:rPr>
            </w:pPr>
            <w:r w:rsidRPr="00240FF5">
              <w:rPr>
                <w:b/>
                <w:color w:val="auto"/>
              </w:rPr>
              <w:lastRenderedPageBreak/>
              <w:t>Report autho</w:t>
            </w:r>
            <w:r w:rsidR="00BC1A47">
              <w:rPr>
                <w:b/>
                <w:color w:val="auto"/>
              </w:rPr>
              <w:t>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1A4E0C6B" w14:textId="4641E254" w:rsidR="00256350" w:rsidRPr="00240FF5" w:rsidRDefault="00BB3BC1" w:rsidP="00256350">
            <w:pPr>
              <w:rPr>
                <w:color w:val="auto"/>
              </w:rPr>
            </w:pPr>
            <w:r>
              <w:rPr>
                <w:color w:val="auto"/>
              </w:rPr>
              <w:t>Clare Paterson</w:t>
            </w:r>
          </w:p>
        </w:tc>
      </w:tr>
      <w:tr w:rsidR="004E0E5B" w:rsidRPr="00240FF5" w14:paraId="074DE641" w14:textId="77777777" w:rsidTr="197BAE22">
        <w:trPr>
          <w:cantSplit/>
          <w:trHeight w:val="396"/>
        </w:trPr>
        <w:tc>
          <w:tcPr>
            <w:tcW w:w="3969" w:type="dxa"/>
            <w:tcBorders>
              <w:top w:val="single" w:sz="8" w:space="0" w:color="000000" w:themeColor="text1"/>
              <w:left w:val="single" w:sz="8" w:space="0" w:color="000000" w:themeColor="text1"/>
              <w:bottom w:val="nil"/>
              <w:right w:val="nil"/>
            </w:tcBorders>
          </w:tcPr>
          <w:p w14:paraId="73287968" w14:textId="77777777" w:rsidR="00E87F7A" w:rsidRPr="00240FF5" w:rsidRDefault="00E87F7A" w:rsidP="00A46E98">
            <w:pPr>
              <w:rPr>
                <w:color w:val="auto"/>
              </w:rPr>
            </w:pPr>
            <w:r w:rsidRPr="00240FF5">
              <w:rPr>
                <w:color w:val="auto"/>
              </w:rPr>
              <w:t>Job title</w:t>
            </w:r>
          </w:p>
        </w:tc>
        <w:tc>
          <w:tcPr>
            <w:tcW w:w="4962" w:type="dxa"/>
            <w:tcBorders>
              <w:top w:val="single" w:sz="8" w:space="0" w:color="000000" w:themeColor="text1"/>
              <w:left w:val="nil"/>
              <w:bottom w:val="nil"/>
              <w:right w:val="single" w:sz="8" w:space="0" w:color="000000" w:themeColor="text1"/>
            </w:tcBorders>
          </w:tcPr>
          <w:p w14:paraId="42FD37AE" w14:textId="629A4D09" w:rsidR="00256350" w:rsidRPr="00240FF5" w:rsidRDefault="00BB3BC1" w:rsidP="007A64CE">
            <w:pPr>
              <w:rPr>
                <w:color w:val="auto"/>
              </w:rPr>
            </w:pPr>
            <w:r>
              <w:rPr>
                <w:color w:val="auto"/>
              </w:rPr>
              <w:t>Strategic Finance Manager</w:t>
            </w:r>
          </w:p>
        </w:tc>
      </w:tr>
      <w:tr w:rsidR="004E0E5B" w:rsidRPr="00240FF5" w14:paraId="678C66FC" w14:textId="77777777" w:rsidTr="197BAE22">
        <w:trPr>
          <w:cantSplit/>
          <w:trHeight w:val="396"/>
        </w:trPr>
        <w:tc>
          <w:tcPr>
            <w:tcW w:w="3969" w:type="dxa"/>
            <w:tcBorders>
              <w:top w:val="nil"/>
              <w:left w:val="single" w:sz="8" w:space="0" w:color="000000" w:themeColor="text1"/>
              <w:bottom w:val="nil"/>
              <w:right w:val="nil"/>
            </w:tcBorders>
          </w:tcPr>
          <w:p w14:paraId="52870F7F" w14:textId="77777777" w:rsidR="00E87F7A" w:rsidRPr="00240FF5" w:rsidRDefault="00E87F7A" w:rsidP="00A46E98">
            <w:pPr>
              <w:rPr>
                <w:color w:val="auto"/>
              </w:rPr>
            </w:pPr>
            <w:r w:rsidRPr="00240FF5">
              <w:rPr>
                <w:color w:val="auto"/>
              </w:rPr>
              <w:t>Service area or department</w:t>
            </w:r>
          </w:p>
        </w:tc>
        <w:tc>
          <w:tcPr>
            <w:tcW w:w="4962" w:type="dxa"/>
            <w:tcBorders>
              <w:top w:val="nil"/>
              <w:left w:val="nil"/>
              <w:bottom w:val="nil"/>
              <w:right w:val="single" w:sz="8" w:space="0" w:color="000000" w:themeColor="text1"/>
            </w:tcBorders>
          </w:tcPr>
          <w:p w14:paraId="226A6AB5" w14:textId="018AA793" w:rsidR="00E87F7A" w:rsidRPr="00240FF5" w:rsidRDefault="00256350" w:rsidP="004E0E5B">
            <w:pPr>
              <w:rPr>
                <w:color w:val="auto"/>
              </w:rPr>
            </w:pPr>
            <w:r w:rsidRPr="00240FF5">
              <w:rPr>
                <w:color w:val="auto"/>
              </w:rPr>
              <w:t>Financial Services</w:t>
            </w:r>
          </w:p>
        </w:tc>
      </w:tr>
      <w:tr w:rsidR="004E0E5B" w:rsidRPr="00240FF5" w14:paraId="0FC83DD0" w14:textId="77777777" w:rsidTr="197BAE22">
        <w:trPr>
          <w:cantSplit/>
          <w:trHeight w:val="396"/>
        </w:trPr>
        <w:tc>
          <w:tcPr>
            <w:tcW w:w="3969" w:type="dxa"/>
            <w:tcBorders>
              <w:top w:val="nil"/>
              <w:left w:val="single" w:sz="8" w:space="0" w:color="000000" w:themeColor="text1"/>
              <w:bottom w:val="nil"/>
              <w:right w:val="nil"/>
            </w:tcBorders>
          </w:tcPr>
          <w:p w14:paraId="1057CB75" w14:textId="77777777" w:rsidR="00E87F7A" w:rsidRPr="00240FF5" w:rsidRDefault="00E87F7A" w:rsidP="00A46E98">
            <w:pPr>
              <w:rPr>
                <w:color w:val="auto"/>
              </w:rPr>
            </w:pPr>
            <w:r w:rsidRPr="00240FF5">
              <w:rPr>
                <w:color w:val="auto"/>
              </w:rPr>
              <w:t xml:space="preserve">Telephone </w:t>
            </w:r>
          </w:p>
        </w:tc>
        <w:tc>
          <w:tcPr>
            <w:tcW w:w="4962" w:type="dxa"/>
            <w:tcBorders>
              <w:top w:val="nil"/>
              <w:left w:val="nil"/>
              <w:bottom w:val="nil"/>
              <w:right w:val="single" w:sz="8" w:space="0" w:color="000000" w:themeColor="text1"/>
            </w:tcBorders>
          </w:tcPr>
          <w:p w14:paraId="13250F4A" w14:textId="64C2EEE2" w:rsidR="00E87F7A" w:rsidRPr="00240FF5" w:rsidRDefault="00E71B33" w:rsidP="00256350">
            <w:pPr>
              <w:rPr>
                <w:color w:val="auto"/>
              </w:rPr>
            </w:pPr>
            <w:r w:rsidRPr="00240FF5">
              <w:rPr>
                <w:color w:val="auto"/>
              </w:rPr>
              <w:t xml:space="preserve">01865 </w:t>
            </w:r>
            <w:r w:rsidR="002C65A7" w:rsidRPr="00240FF5">
              <w:rPr>
                <w:color w:val="auto"/>
              </w:rPr>
              <w:t>252</w:t>
            </w:r>
            <w:r w:rsidR="00BB3BC1">
              <w:rPr>
                <w:color w:val="auto"/>
              </w:rPr>
              <w:t>442</w:t>
            </w:r>
          </w:p>
        </w:tc>
      </w:tr>
      <w:tr w:rsidR="004E0E5B" w:rsidRPr="00240FF5" w14:paraId="0BA42F9E" w14:textId="77777777" w:rsidTr="197BAE22">
        <w:trPr>
          <w:cantSplit/>
          <w:trHeight w:val="396"/>
        </w:trPr>
        <w:tc>
          <w:tcPr>
            <w:tcW w:w="3969" w:type="dxa"/>
            <w:tcBorders>
              <w:top w:val="nil"/>
              <w:left w:val="single" w:sz="8" w:space="0" w:color="000000" w:themeColor="text1"/>
              <w:bottom w:val="single" w:sz="8" w:space="0" w:color="000000" w:themeColor="text1"/>
              <w:right w:val="nil"/>
            </w:tcBorders>
          </w:tcPr>
          <w:p w14:paraId="0FF80352" w14:textId="77777777" w:rsidR="00E87F7A" w:rsidRPr="00240FF5" w:rsidRDefault="00E87F7A" w:rsidP="00A46E98">
            <w:pPr>
              <w:rPr>
                <w:color w:val="auto"/>
              </w:rPr>
            </w:pPr>
            <w:r w:rsidRPr="00240FF5">
              <w:rPr>
                <w:color w:val="auto"/>
              </w:rPr>
              <w:t xml:space="preserve">e-mail </w:t>
            </w:r>
          </w:p>
        </w:tc>
        <w:tc>
          <w:tcPr>
            <w:tcW w:w="4962" w:type="dxa"/>
            <w:tcBorders>
              <w:top w:val="nil"/>
              <w:left w:val="nil"/>
              <w:bottom w:val="single" w:sz="8" w:space="0" w:color="000000" w:themeColor="text1"/>
              <w:right w:val="single" w:sz="8" w:space="0" w:color="000000" w:themeColor="text1"/>
            </w:tcBorders>
          </w:tcPr>
          <w:p w14:paraId="38A42174" w14:textId="1CAC3506" w:rsidR="00E87F7A" w:rsidRPr="00240FF5" w:rsidRDefault="00BB3BC1" w:rsidP="004E0E5B">
            <w:pPr>
              <w:rPr>
                <w:rStyle w:val="Hyperlink"/>
                <w:color w:val="auto"/>
              </w:rPr>
            </w:pPr>
            <w:r w:rsidRPr="00BB3BC1">
              <w:rPr>
                <w:rStyle w:val="Hyperlink"/>
                <w:color w:val="000000" w:themeColor="text1"/>
              </w:rPr>
              <w:t>cpaterson</w:t>
            </w:r>
            <w:r w:rsidR="002C65A7" w:rsidRPr="00240FF5">
              <w:rPr>
                <w:rStyle w:val="Hyperlink"/>
                <w:color w:val="auto"/>
              </w:rPr>
              <w:t>@oxford.gov.uk</w:t>
            </w:r>
          </w:p>
        </w:tc>
      </w:tr>
    </w:tbl>
    <w:p w14:paraId="34C37706" w14:textId="77777777" w:rsidR="00433B96" w:rsidRPr="00240FF5" w:rsidRDefault="00433B96" w:rsidP="004A6D2F">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4E0E5B" w:rsidRPr="00240FF5" w14:paraId="7B844727" w14:textId="77777777" w:rsidTr="00A46E98">
        <w:tc>
          <w:tcPr>
            <w:tcW w:w="8931" w:type="dxa"/>
            <w:tcBorders>
              <w:top w:val="single" w:sz="4" w:space="0" w:color="auto"/>
              <w:left w:val="single" w:sz="4" w:space="0" w:color="auto"/>
              <w:bottom w:val="single" w:sz="8" w:space="0" w:color="000000"/>
              <w:right w:val="single" w:sz="4" w:space="0" w:color="auto"/>
            </w:tcBorders>
          </w:tcPr>
          <w:p w14:paraId="49B9E49D" w14:textId="4648FBC7" w:rsidR="0093067A" w:rsidRPr="00240FF5" w:rsidRDefault="00182B81" w:rsidP="00F41AC1">
            <w:pPr>
              <w:rPr>
                <w:color w:val="auto"/>
              </w:rPr>
            </w:pPr>
            <w:r w:rsidRPr="00240FF5">
              <w:rPr>
                <w:rStyle w:val="Firstpagetablebold"/>
                <w:color w:val="auto"/>
              </w:rPr>
              <w:t xml:space="preserve">Background Papers: </w:t>
            </w:r>
            <w:r w:rsidR="00262A14" w:rsidRPr="00262A14">
              <w:rPr>
                <w:rStyle w:val="Firstpagetablebold"/>
                <w:b w:val="0"/>
                <w:bCs/>
                <w:color w:val="auto"/>
              </w:rPr>
              <w:t>N</w:t>
            </w:r>
            <w:r w:rsidR="00262A14" w:rsidRPr="00262A14">
              <w:rPr>
                <w:rStyle w:val="Firstpagetablebold"/>
                <w:b w:val="0"/>
                <w:bCs/>
              </w:rPr>
              <w:t>one</w:t>
            </w:r>
          </w:p>
        </w:tc>
      </w:tr>
    </w:tbl>
    <w:p w14:paraId="6263B363" w14:textId="77777777" w:rsidR="00CE4C87" w:rsidRPr="00240FF5" w:rsidRDefault="00CE4C87" w:rsidP="0093067A">
      <w:pPr>
        <w:rPr>
          <w:color w:val="auto"/>
        </w:rPr>
      </w:pPr>
    </w:p>
    <w:p w14:paraId="4A80A9DA" w14:textId="77777777" w:rsidR="008E31C9" w:rsidRDefault="008E31C9"/>
    <w:p w14:paraId="76D66D43" w14:textId="77777777" w:rsidR="008E31C9" w:rsidRDefault="008E31C9"/>
    <w:p w14:paraId="1EAB7AF7" w14:textId="77777777" w:rsidR="008E31C9" w:rsidRDefault="008E31C9"/>
    <w:p w14:paraId="58A68410" w14:textId="1A213647" w:rsidR="007A01AA" w:rsidRDefault="007A01AA" w:rsidP="008E31C9">
      <w:pPr>
        <w:spacing w:after="0"/>
        <w:rPr>
          <w:color w:val="auto"/>
        </w:rPr>
      </w:pPr>
    </w:p>
    <w:sectPr w:rsidR="007A01AA" w:rsidSect="007A01AA">
      <w:headerReference w:type="first" r:id="rId15"/>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52B9" w14:textId="77777777" w:rsidR="0075036D" w:rsidRDefault="0075036D" w:rsidP="004A6D2F">
      <w:r>
        <w:separator/>
      </w:r>
    </w:p>
  </w:endnote>
  <w:endnote w:type="continuationSeparator" w:id="0">
    <w:p w14:paraId="109EA24F" w14:textId="77777777" w:rsidR="0075036D" w:rsidRDefault="0075036D" w:rsidP="004A6D2F">
      <w:r>
        <w:continuationSeparator/>
      </w:r>
    </w:p>
  </w:endnote>
  <w:endnote w:type="continuationNotice" w:id="1">
    <w:p w14:paraId="1FC08299" w14:textId="77777777" w:rsidR="0075036D" w:rsidRDefault="007503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909D" w14:textId="77777777" w:rsidR="0075036D" w:rsidRDefault="0075036D" w:rsidP="004A6D2F">
      <w:r>
        <w:separator/>
      </w:r>
    </w:p>
  </w:footnote>
  <w:footnote w:type="continuationSeparator" w:id="0">
    <w:p w14:paraId="61F4D058" w14:textId="77777777" w:rsidR="0075036D" w:rsidRDefault="0075036D" w:rsidP="004A6D2F">
      <w:r>
        <w:continuationSeparator/>
      </w:r>
    </w:p>
  </w:footnote>
  <w:footnote w:type="continuationNotice" w:id="1">
    <w:p w14:paraId="2CF42FDE" w14:textId="77777777" w:rsidR="0075036D" w:rsidRDefault="007503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D7D8" w14:textId="518604A6" w:rsidR="007A01AA" w:rsidRDefault="007A01AA" w:rsidP="007A01AA">
    <w:pPr>
      <w:pStyle w:val="Header"/>
      <w:jc w:val="right"/>
    </w:pPr>
    <w:r w:rsidRPr="00612730">
      <w:rPr>
        <w:noProof/>
      </w:rPr>
      <w:drawing>
        <wp:anchor distT="0" distB="0" distL="114300" distR="114300" simplePos="0" relativeHeight="251658241" behindDoc="0" locked="0" layoutInCell="1" allowOverlap="1" wp14:anchorId="1A0E408C" wp14:editId="10DF7E9A">
          <wp:simplePos x="0" y="0"/>
          <wp:positionH relativeFrom="column">
            <wp:posOffset>5806440</wp:posOffset>
          </wp:positionH>
          <wp:positionV relativeFrom="paragraph">
            <wp:posOffset>-644525</wp:posOffset>
          </wp:positionV>
          <wp:extent cx="842645" cy="1121410"/>
          <wp:effectExtent l="0" t="0" r="0" b="2540"/>
          <wp:wrapNone/>
          <wp:docPr id="197224194" name="Picture 197224194"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730">
      <w:rPr>
        <w:noProof/>
      </w:rPr>
      <w:drawing>
        <wp:anchor distT="0" distB="0" distL="114300" distR="114300" simplePos="0" relativeHeight="251658240" behindDoc="0" locked="0" layoutInCell="1" allowOverlap="1" wp14:anchorId="0DD715D7" wp14:editId="0F6D9A5F">
          <wp:simplePos x="0" y="0"/>
          <wp:positionH relativeFrom="column">
            <wp:posOffset>8940800</wp:posOffset>
          </wp:positionH>
          <wp:positionV relativeFrom="paragraph">
            <wp:posOffset>-647700</wp:posOffset>
          </wp:positionV>
          <wp:extent cx="842645" cy="1121410"/>
          <wp:effectExtent l="0" t="0" r="0" b="2540"/>
          <wp:wrapNone/>
          <wp:docPr id="395896451" name="Picture 39589645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64F90" w14:textId="77777777" w:rsidR="007A01AA" w:rsidRDefault="007A01AA" w:rsidP="00D55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153"/>
    <w:multiLevelType w:val="hybridMultilevel"/>
    <w:tmpl w:val="7ACC7C5C"/>
    <w:lvl w:ilvl="0" w:tplc="36B671E8">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786"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E4C09"/>
    <w:multiLevelType w:val="hybridMultilevel"/>
    <w:tmpl w:val="578A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071F1"/>
    <w:multiLevelType w:val="multilevel"/>
    <w:tmpl w:val="01C2A6E2"/>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DA505B7"/>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0980FC5"/>
    <w:multiLevelType w:val="hybridMultilevel"/>
    <w:tmpl w:val="6D2838EC"/>
    <w:lvl w:ilvl="0" w:tplc="AFA25F0A">
      <w:start w:val="1"/>
      <w:numFmt w:val="bullet"/>
      <w:pStyle w:val="Bulletpoints"/>
      <w:lvlText w:val=""/>
      <w:lvlJc w:val="left"/>
      <w:pPr>
        <w:ind w:left="1080" w:hanging="360"/>
      </w:pPr>
      <w:rPr>
        <w:rFonts w:ascii="Symbol" w:hAnsi="Symbol" w:hint="default"/>
      </w:rPr>
    </w:lvl>
    <w:lvl w:ilvl="1" w:tplc="FFFFFFFF">
      <w:start w:val="1"/>
      <w:numFmt w:val="bullet"/>
      <w:lvlText w:val=""/>
      <w:lvlJc w:val="left"/>
      <w:pPr>
        <w:ind w:left="2062" w:hanging="360"/>
      </w:pPr>
      <w:rPr>
        <w:rFonts w:ascii="Symbol" w:hAnsi="Symbol" w:hint="default"/>
      </w:rPr>
    </w:lvl>
    <w:lvl w:ilvl="2" w:tplc="D9D2C864">
      <w:start w:val="16"/>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B1077A"/>
    <w:multiLevelType w:val="multilevel"/>
    <w:tmpl w:val="B7A01854"/>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195FA3"/>
    <w:multiLevelType w:val="multilevel"/>
    <w:tmpl w:val="3886FFAE"/>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A117DD1"/>
    <w:multiLevelType w:val="multilevel"/>
    <w:tmpl w:val="CB481716"/>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050CFF"/>
    <w:multiLevelType w:val="multilevel"/>
    <w:tmpl w:val="0936AC58"/>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07544B2"/>
    <w:multiLevelType w:val="multilevel"/>
    <w:tmpl w:val="470ACC02"/>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2B55487"/>
    <w:multiLevelType w:val="multilevel"/>
    <w:tmpl w:val="7D02256C"/>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o"/>
      <w:lvlJc w:val="left"/>
      <w:pPr>
        <w:ind w:left="1980" w:hanging="360"/>
      </w:pPr>
      <w:rPr>
        <w:rFonts w:ascii="Courier New" w:hAnsi="Courier New" w:cs="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FBA4CC9"/>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11D0CF1"/>
    <w:multiLevelType w:val="multilevel"/>
    <w:tmpl w:val="01C2A6E2"/>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3022FB7"/>
    <w:multiLevelType w:val="multilevel"/>
    <w:tmpl w:val="3A2AD5A0"/>
    <w:lvl w:ilvl="0">
      <w:start w:val="1"/>
      <w:numFmt w:val="bullet"/>
      <w:lvlText w:val=""/>
      <w:lvlJc w:val="left"/>
      <w:pPr>
        <w:ind w:left="1211" w:hanging="360"/>
      </w:pPr>
      <w:rPr>
        <w:rFonts w:ascii="Symbol" w:hAnsi="Symbol" w:hint="default"/>
        <w:b w:val="0"/>
        <w:bCs w:val="0"/>
        <w:color w:val="000000"/>
        <w:sz w:val="24"/>
      </w:rPr>
    </w:lvl>
    <w:lvl w:ilvl="1">
      <w:start w:val="1"/>
      <w:numFmt w:val="bullet"/>
      <w:lvlText w:val=""/>
      <w:lvlJc w:val="left"/>
      <w:pPr>
        <w:ind w:left="928" w:hanging="360"/>
      </w:pPr>
      <w:rPr>
        <w:rFonts w:ascii="Symbol" w:hAnsi="Symbol" w:hint="default"/>
        <w:color w:val="auto"/>
      </w:rPr>
    </w:lvl>
    <w:lvl w:ilvl="2">
      <w:numFmt w:val="bullet"/>
      <w:lvlText w:val="•"/>
      <w:lvlJc w:val="left"/>
      <w:pPr>
        <w:ind w:left="1786" w:hanging="360"/>
      </w:pPr>
      <w:rPr>
        <w:rFonts w:ascii="Arial" w:eastAsia="Times New Roman" w:hAnsi="Arial" w:cs="Arial" w:hint="default"/>
      </w:rPr>
    </w:lvl>
    <w:lvl w:ilvl="3">
      <w:start w:val="1"/>
      <w:numFmt w:val="decimal"/>
      <w:lvlText w:val="%4."/>
      <w:lvlJc w:val="left"/>
      <w:pPr>
        <w:ind w:left="2236" w:hanging="360"/>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62797D56"/>
    <w:multiLevelType w:val="hybridMultilevel"/>
    <w:tmpl w:val="35149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C80DFF"/>
    <w:multiLevelType w:val="multilevel"/>
    <w:tmpl w:val="7F5C6BFE"/>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6CC5E98"/>
    <w:multiLevelType w:val="multilevel"/>
    <w:tmpl w:val="E40E9C14"/>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EE204B"/>
    <w:multiLevelType w:val="multilevel"/>
    <w:tmpl w:val="C3C2692C"/>
    <w:lvl w:ilvl="0">
      <w:numFmt w:val="bullet"/>
      <w:lvlText w:val="•"/>
      <w:lvlJc w:val="left"/>
      <w:pPr>
        <w:ind w:left="1495" w:hanging="360"/>
      </w:pPr>
      <w:rPr>
        <w:rFonts w:ascii="Arial" w:eastAsia="Times New Roman" w:hAnsi="Arial" w:cs="Arial" w:hint="default"/>
        <w:b w:val="0"/>
        <w:bCs w:val="0"/>
        <w:color w:val="000000"/>
        <w:sz w:val="24"/>
      </w:rPr>
    </w:lvl>
    <w:lvl w:ilvl="1">
      <w:start w:val="1"/>
      <w:numFmt w:val="bullet"/>
      <w:lvlText w:val=""/>
      <w:lvlJc w:val="left"/>
      <w:pPr>
        <w:ind w:left="1212" w:hanging="360"/>
      </w:pPr>
      <w:rPr>
        <w:rFonts w:ascii="Symbol" w:hAnsi="Symbol" w:hint="default"/>
        <w:color w:val="auto"/>
      </w:rPr>
    </w:lvl>
    <w:lvl w:ilvl="2">
      <w:numFmt w:val="bullet"/>
      <w:lvlText w:val="•"/>
      <w:lvlJc w:val="left"/>
      <w:pPr>
        <w:ind w:left="2070" w:hanging="360"/>
      </w:pPr>
      <w:rPr>
        <w:rFonts w:ascii="Arial" w:eastAsia="Times New Roman" w:hAnsi="Arial" w:cs="Aria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42886469">
    <w:abstractNumId w:val="1"/>
  </w:num>
  <w:num w:numId="2" w16cid:durableId="917709451">
    <w:abstractNumId w:val="6"/>
  </w:num>
  <w:num w:numId="3" w16cid:durableId="615409859">
    <w:abstractNumId w:val="2"/>
  </w:num>
  <w:num w:numId="4" w16cid:durableId="1683630193">
    <w:abstractNumId w:val="19"/>
  </w:num>
  <w:num w:numId="5" w16cid:durableId="1751148826">
    <w:abstractNumId w:val="0"/>
  </w:num>
  <w:num w:numId="6" w16cid:durableId="416369190">
    <w:abstractNumId w:val="13"/>
  </w:num>
  <w:num w:numId="7" w16cid:durableId="691371800">
    <w:abstractNumId w:val="5"/>
  </w:num>
  <w:num w:numId="8" w16cid:durableId="2109806954">
    <w:abstractNumId w:val="12"/>
  </w:num>
  <w:num w:numId="9" w16cid:durableId="479228935">
    <w:abstractNumId w:val="3"/>
  </w:num>
  <w:num w:numId="10" w16cid:durableId="1389723596">
    <w:abstractNumId w:val="10"/>
  </w:num>
  <w:num w:numId="11" w16cid:durableId="154077569">
    <w:abstractNumId w:val="7"/>
  </w:num>
  <w:num w:numId="12" w16cid:durableId="786579740">
    <w:abstractNumId w:val="8"/>
  </w:num>
  <w:num w:numId="13" w16cid:durableId="1914389835">
    <w:abstractNumId w:val="4"/>
  </w:num>
  <w:num w:numId="14" w16cid:durableId="2053072641">
    <w:abstractNumId w:val="14"/>
  </w:num>
  <w:num w:numId="15" w16cid:durableId="568810566">
    <w:abstractNumId w:val="11"/>
  </w:num>
  <w:num w:numId="16" w16cid:durableId="913667966">
    <w:abstractNumId w:val="18"/>
  </w:num>
  <w:num w:numId="17" w16cid:durableId="147794228">
    <w:abstractNumId w:val="20"/>
  </w:num>
  <w:num w:numId="18" w16cid:durableId="257100441">
    <w:abstractNumId w:val="17"/>
  </w:num>
  <w:num w:numId="19" w16cid:durableId="117844676">
    <w:abstractNumId w:val="15"/>
  </w:num>
  <w:num w:numId="20" w16cid:durableId="2038197647">
    <w:abstractNumId w:val="16"/>
  </w:num>
  <w:num w:numId="21" w16cid:durableId="47765049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066D"/>
    <w:rsid w:val="00000B65"/>
    <w:rsid w:val="00001544"/>
    <w:rsid w:val="00003856"/>
    <w:rsid w:val="00005300"/>
    <w:rsid w:val="000067C3"/>
    <w:rsid w:val="00007E2F"/>
    <w:rsid w:val="00010264"/>
    <w:rsid w:val="00010358"/>
    <w:rsid w:val="00010C09"/>
    <w:rsid w:val="000117D4"/>
    <w:rsid w:val="000119EC"/>
    <w:rsid w:val="00011B7A"/>
    <w:rsid w:val="00013492"/>
    <w:rsid w:val="000202CA"/>
    <w:rsid w:val="00020E7E"/>
    <w:rsid w:val="00021313"/>
    <w:rsid w:val="00021A50"/>
    <w:rsid w:val="00022E24"/>
    <w:rsid w:val="00026B7B"/>
    <w:rsid w:val="00027A19"/>
    <w:rsid w:val="000314D7"/>
    <w:rsid w:val="00033A0C"/>
    <w:rsid w:val="00034DFA"/>
    <w:rsid w:val="00035E6B"/>
    <w:rsid w:val="0003626A"/>
    <w:rsid w:val="00036EE8"/>
    <w:rsid w:val="00041D28"/>
    <w:rsid w:val="00044A94"/>
    <w:rsid w:val="00045CFD"/>
    <w:rsid w:val="00045F8B"/>
    <w:rsid w:val="00046505"/>
    <w:rsid w:val="00046D2B"/>
    <w:rsid w:val="00046D61"/>
    <w:rsid w:val="00047B56"/>
    <w:rsid w:val="000501D4"/>
    <w:rsid w:val="00050BA8"/>
    <w:rsid w:val="00050DA8"/>
    <w:rsid w:val="00050DF9"/>
    <w:rsid w:val="000516D0"/>
    <w:rsid w:val="00053295"/>
    <w:rsid w:val="00053D19"/>
    <w:rsid w:val="000542E2"/>
    <w:rsid w:val="0005443F"/>
    <w:rsid w:val="000553A0"/>
    <w:rsid w:val="0005594D"/>
    <w:rsid w:val="00056263"/>
    <w:rsid w:val="00056FA2"/>
    <w:rsid w:val="00057678"/>
    <w:rsid w:val="0006237D"/>
    <w:rsid w:val="0006290E"/>
    <w:rsid w:val="0006399D"/>
    <w:rsid w:val="00064D8A"/>
    <w:rsid w:val="00064F82"/>
    <w:rsid w:val="00065127"/>
    <w:rsid w:val="00066510"/>
    <w:rsid w:val="00067108"/>
    <w:rsid w:val="00067F6F"/>
    <w:rsid w:val="00070E1A"/>
    <w:rsid w:val="0007246D"/>
    <w:rsid w:val="00073508"/>
    <w:rsid w:val="0007492F"/>
    <w:rsid w:val="000749E8"/>
    <w:rsid w:val="000753A8"/>
    <w:rsid w:val="00075907"/>
    <w:rsid w:val="00077523"/>
    <w:rsid w:val="000776FF"/>
    <w:rsid w:val="00082AD8"/>
    <w:rsid w:val="00082E42"/>
    <w:rsid w:val="00085B72"/>
    <w:rsid w:val="000861C5"/>
    <w:rsid w:val="00087BC5"/>
    <w:rsid w:val="000912F8"/>
    <w:rsid w:val="000917F9"/>
    <w:rsid w:val="00092B20"/>
    <w:rsid w:val="00093353"/>
    <w:rsid w:val="00096070"/>
    <w:rsid w:val="000963D9"/>
    <w:rsid w:val="000A38A2"/>
    <w:rsid w:val="000A4635"/>
    <w:rsid w:val="000A47AE"/>
    <w:rsid w:val="000A591D"/>
    <w:rsid w:val="000A76FA"/>
    <w:rsid w:val="000B50BF"/>
    <w:rsid w:val="000B5153"/>
    <w:rsid w:val="000B6C3C"/>
    <w:rsid w:val="000B76DA"/>
    <w:rsid w:val="000C089F"/>
    <w:rsid w:val="000C1A15"/>
    <w:rsid w:val="000C2945"/>
    <w:rsid w:val="000C2A5B"/>
    <w:rsid w:val="000C3928"/>
    <w:rsid w:val="000C3D16"/>
    <w:rsid w:val="000C4C93"/>
    <w:rsid w:val="000C5E8E"/>
    <w:rsid w:val="000C5F5D"/>
    <w:rsid w:val="000C6280"/>
    <w:rsid w:val="000D26A3"/>
    <w:rsid w:val="000D4262"/>
    <w:rsid w:val="000D5378"/>
    <w:rsid w:val="000D63FB"/>
    <w:rsid w:val="000E0057"/>
    <w:rsid w:val="000E012D"/>
    <w:rsid w:val="000E0325"/>
    <w:rsid w:val="000E2B71"/>
    <w:rsid w:val="000E49D0"/>
    <w:rsid w:val="000E5221"/>
    <w:rsid w:val="000F0B7E"/>
    <w:rsid w:val="000F1081"/>
    <w:rsid w:val="000F2A7A"/>
    <w:rsid w:val="000F3D6E"/>
    <w:rsid w:val="000F44CC"/>
    <w:rsid w:val="000F4751"/>
    <w:rsid w:val="00101E6E"/>
    <w:rsid w:val="001029E3"/>
    <w:rsid w:val="0010431D"/>
    <w:rsid w:val="0010524C"/>
    <w:rsid w:val="00107566"/>
    <w:rsid w:val="00107DFB"/>
    <w:rsid w:val="00110F60"/>
    <w:rsid w:val="001112A9"/>
    <w:rsid w:val="00111DE7"/>
    <w:rsid w:val="00111FB1"/>
    <w:rsid w:val="001121C1"/>
    <w:rsid w:val="0011263A"/>
    <w:rsid w:val="00113418"/>
    <w:rsid w:val="0011408F"/>
    <w:rsid w:val="00117FD9"/>
    <w:rsid w:val="00121043"/>
    <w:rsid w:val="001230A8"/>
    <w:rsid w:val="00124521"/>
    <w:rsid w:val="00124D88"/>
    <w:rsid w:val="0012667E"/>
    <w:rsid w:val="00126F0D"/>
    <w:rsid w:val="00126FAE"/>
    <w:rsid w:val="0012CF25"/>
    <w:rsid w:val="0013140F"/>
    <w:rsid w:val="00132872"/>
    <w:rsid w:val="00132A6F"/>
    <w:rsid w:val="00133FCB"/>
    <w:rsid w:val="0013447C"/>
    <w:rsid w:val="001356F1"/>
    <w:rsid w:val="00135C15"/>
    <w:rsid w:val="00136994"/>
    <w:rsid w:val="00136EB8"/>
    <w:rsid w:val="00136FB7"/>
    <w:rsid w:val="0014128E"/>
    <w:rsid w:val="00142A87"/>
    <w:rsid w:val="00147D97"/>
    <w:rsid w:val="00147DA9"/>
    <w:rsid w:val="00151888"/>
    <w:rsid w:val="00151E78"/>
    <w:rsid w:val="00151EDF"/>
    <w:rsid w:val="001531B9"/>
    <w:rsid w:val="00153ECE"/>
    <w:rsid w:val="001549AD"/>
    <w:rsid w:val="00155948"/>
    <w:rsid w:val="00160143"/>
    <w:rsid w:val="00160770"/>
    <w:rsid w:val="0016105F"/>
    <w:rsid w:val="001623E0"/>
    <w:rsid w:val="00162B63"/>
    <w:rsid w:val="00162C5E"/>
    <w:rsid w:val="001639AD"/>
    <w:rsid w:val="00165502"/>
    <w:rsid w:val="00166033"/>
    <w:rsid w:val="00166E6A"/>
    <w:rsid w:val="001675B7"/>
    <w:rsid w:val="0017015E"/>
    <w:rsid w:val="00170A2D"/>
    <w:rsid w:val="00171196"/>
    <w:rsid w:val="00172EFA"/>
    <w:rsid w:val="00175A49"/>
    <w:rsid w:val="00175CC5"/>
    <w:rsid w:val="00177372"/>
    <w:rsid w:val="00177808"/>
    <w:rsid w:val="00177F27"/>
    <w:rsid w:val="001808BC"/>
    <w:rsid w:val="001826BE"/>
    <w:rsid w:val="00182B81"/>
    <w:rsid w:val="0018474B"/>
    <w:rsid w:val="00184BA6"/>
    <w:rsid w:val="00184E8E"/>
    <w:rsid w:val="00185A05"/>
    <w:rsid w:val="0018619D"/>
    <w:rsid w:val="001861C9"/>
    <w:rsid w:val="0018749F"/>
    <w:rsid w:val="00190014"/>
    <w:rsid w:val="001944A2"/>
    <w:rsid w:val="00194620"/>
    <w:rsid w:val="0019563E"/>
    <w:rsid w:val="00195CA7"/>
    <w:rsid w:val="001965CB"/>
    <w:rsid w:val="00197786"/>
    <w:rsid w:val="00197A24"/>
    <w:rsid w:val="00197C34"/>
    <w:rsid w:val="001A011E"/>
    <w:rsid w:val="001A066A"/>
    <w:rsid w:val="001A0CD0"/>
    <w:rsid w:val="001A13E6"/>
    <w:rsid w:val="001A3430"/>
    <w:rsid w:val="001A382D"/>
    <w:rsid w:val="001A4B55"/>
    <w:rsid w:val="001A5731"/>
    <w:rsid w:val="001A58F2"/>
    <w:rsid w:val="001A60BF"/>
    <w:rsid w:val="001A6B6B"/>
    <w:rsid w:val="001A6EE3"/>
    <w:rsid w:val="001A70AB"/>
    <w:rsid w:val="001A7892"/>
    <w:rsid w:val="001A7F2A"/>
    <w:rsid w:val="001A7F68"/>
    <w:rsid w:val="001B0AD1"/>
    <w:rsid w:val="001B2E71"/>
    <w:rsid w:val="001B36AE"/>
    <w:rsid w:val="001B42C3"/>
    <w:rsid w:val="001B454E"/>
    <w:rsid w:val="001B4CD4"/>
    <w:rsid w:val="001B5939"/>
    <w:rsid w:val="001C1532"/>
    <w:rsid w:val="001C21C2"/>
    <w:rsid w:val="001C2416"/>
    <w:rsid w:val="001C274C"/>
    <w:rsid w:val="001C2815"/>
    <w:rsid w:val="001C391C"/>
    <w:rsid w:val="001C3F04"/>
    <w:rsid w:val="001C5B09"/>
    <w:rsid w:val="001C5D5E"/>
    <w:rsid w:val="001C651B"/>
    <w:rsid w:val="001C655B"/>
    <w:rsid w:val="001D1B96"/>
    <w:rsid w:val="001D22E9"/>
    <w:rsid w:val="001D3606"/>
    <w:rsid w:val="001D4D0D"/>
    <w:rsid w:val="001D678D"/>
    <w:rsid w:val="001D6B95"/>
    <w:rsid w:val="001D7683"/>
    <w:rsid w:val="001E03F8"/>
    <w:rsid w:val="001E0FBA"/>
    <w:rsid w:val="001E12C0"/>
    <w:rsid w:val="001E1678"/>
    <w:rsid w:val="001E17F1"/>
    <w:rsid w:val="001E3376"/>
    <w:rsid w:val="001E561E"/>
    <w:rsid w:val="001E7192"/>
    <w:rsid w:val="001E7ADB"/>
    <w:rsid w:val="001F1DA6"/>
    <w:rsid w:val="001F3375"/>
    <w:rsid w:val="002005E3"/>
    <w:rsid w:val="002018CC"/>
    <w:rsid w:val="00203B41"/>
    <w:rsid w:val="00204936"/>
    <w:rsid w:val="002051F0"/>
    <w:rsid w:val="0020535E"/>
    <w:rsid w:val="002069B3"/>
    <w:rsid w:val="00206B28"/>
    <w:rsid w:val="00211440"/>
    <w:rsid w:val="00211865"/>
    <w:rsid w:val="00213244"/>
    <w:rsid w:val="0021355D"/>
    <w:rsid w:val="00213A89"/>
    <w:rsid w:val="002151DC"/>
    <w:rsid w:val="002159FE"/>
    <w:rsid w:val="00215DC1"/>
    <w:rsid w:val="00216D87"/>
    <w:rsid w:val="00221C73"/>
    <w:rsid w:val="00222A4F"/>
    <w:rsid w:val="00224C93"/>
    <w:rsid w:val="002256CA"/>
    <w:rsid w:val="002329CF"/>
    <w:rsid w:val="00232F5B"/>
    <w:rsid w:val="00234103"/>
    <w:rsid w:val="00234552"/>
    <w:rsid w:val="00234675"/>
    <w:rsid w:val="002369C8"/>
    <w:rsid w:val="0023761C"/>
    <w:rsid w:val="00240FF5"/>
    <w:rsid w:val="002410A6"/>
    <w:rsid w:val="002414FA"/>
    <w:rsid w:val="00242DD2"/>
    <w:rsid w:val="00243E21"/>
    <w:rsid w:val="00244793"/>
    <w:rsid w:val="00244C87"/>
    <w:rsid w:val="00244FEC"/>
    <w:rsid w:val="0024599D"/>
    <w:rsid w:val="00247C29"/>
    <w:rsid w:val="00250311"/>
    <w:rsid w:val="00251AD9"/>
    <w:rsid w:val="00251ED0"/>
    <w:rsid w:val="00252152"/>
    <w:rsid w:val="00252967"/>
    <w:rsid w:val="002529BB"/>
    <w:rsid w:val="00253E33"/>
    <w:rsid w:val="002559AF"/>
    <w:rsid w:val="00255EB4"/>
    <w:rsid w:val="00256350"/>
    <w:rsid w:val="00256E3F"/>
    <w:rsid w:val="00260467"/>
    <w:rsid w:val="00261C3B"/>
    <w:rsid w:val="00261D35"/>
    <w:rsid w:val="00262299"/>
    <w:rsid w:val="00262A14"/>
    <w:rsid w:val="00262D86"/>
    <w:rsid w:val="00263478"/>
    <w:rsid w:val="00263EA3"/>
    <w:rsid w:val="00265216"/>
    <w:rsid w:val="00265217"/>
    <w:rsid w:val="00265BB1"/>
    <w:rsid w:val="00265DAC"/>
    <w:rsid w:val="002665C2"/>
    <w:rsid w:val="002667B8"/>
    <w:rsid w:val="002668C9"/>
    <w:rsid w:val="002705D9"/>
    <w:rsid w:val="0028004E"/>
    <w:rsid w:val="00280FB8"/>
    <w:rsid w:val="00281592"/>
    <w:rsid w:val="00281FC5"/>
    <w:rsid w:val="0028230E"/>
    <w:rsid w:val="00282E07"/>
    <w:rsid w:val="002834D5"/>
    <w:rsid w:val="00284BA8"/>
    <w:rsid w:val="00284F85"/>
    <w:rsid w:val="00285AB7"/>
    <w:rsid w:val="00285D6F"/>
    <w:rsid w:val="002873F1"/>
    <w:rsid w:val="00287E78"/>
    <w:rsid w:val="00287FB6"/>
    <w:rsid w:val="00290708"/>
    <w:rsid w:val="00290915"/>
    <w:rsid w:val="00291CF3"/>
    <w:rsid w:val="002925C6"/>
    <w:rsid w:val="00292C57"/>
    <w:rsid w:val="00294DDB"/>
    <w:rsid w:val="00295515"/>
    <w:rsid w:val="002959B4"/>
    <w:rsid w:val="00296AD0"/>
    <w:rsid w:val="00296DAF"/>
    <w:rsid w:val="00297834"/>
    <w:rsid w:val="002A0F8B"/>
    <w:rsid w:val="002A15EC"/>
    <w:rsid w:val="002A22E2"/>
    <w:rsid w:val="002A37ED"/>
    <w:rsid w:val="002A52D8"/>
    <w:rsid w:val="002A6922"/>
    <w:rsid w:val="002B0315"/>
    <w:rsid w:val="002B047B"/>
    <w:rsid w:val="002B18DD"/>
    <w:rsid w:val="002B2C00"/>
    <w:rsid w:val="002B2C15"/>
    <w:rsid w:val="002B33AE"/>
    <w:rsid w:val="002B3A96"/>
    <w:rsid w:val="002B4642"/>
    <w:rsid w:val="002B55A9"/>
    <w:rsid w:val="002B5A68"/>
    <w:rsid w:val="002B74C9"/>
    <w:rsid w:val="002B75B7"/>
    <w:rsid w:val="002B7659"/>
    <w:rsid w:val="002C2F6E"/>
    <w:rsid w:val="002C45FC"/>
    <w:rsid w:val="002C466A"/>
    <w:rsid w:val="002C556E"/>
    <w:rsid w:val="002C64F7"/>
    <w:rsid w:val="002C65A7"/>
    <w:rsid w:val="002C6653"/>
    <w:rsid w:val="002D1679"/>
    <w:rsid w:val="002D2AFE"/>
    <w:rsid w:val="002D2B39"/>
    <w:rsid w:val="002D37C3"/>
    <w:rsid w:val="002D4A0A"/>
    <w:rsid w:val="002E033A"/>
    <w:rsid w:val="002E0A00"/>
    <w:rsid w:val="002E3728"/>
    <w:rsid w:val="002E4F99"/>
    <w:rsid w:val="002E5120"/>
    <w:rsid w:val="002E591E"/>
    <w:rsid w:val="002E5AAF"/>
    <w:rsid w:val="002E5C49"/>
    <w:rsid w:val="002E6433"/>
    <w:rsid w:val="002E7AE3"/>
    <w:rsid w:val="002E7F9B"/>
    <w:rsid w:val="002F0451"/>
    <w:rsid w:val="002F41F2"/>
    <w:rsid w:val="002F5517"/>
    <w:rsid w:val="002F567B"/>
    <w:rsid w:val="002F6BB7"/>
    <w:rsid w:val="00301BF3"/>
    <w:rsid w:val="0030208D"/>
    <w:rsid w:val="003025E1"/>
    <w:rsid w:val="00303562"/>
    <w:rsid w:val="00304AD6"/>
    <w:rsid w:val="003071F2"/>
    <w:rsid w:val="00307CFF"/>
    <w:rsid w:val="00307EE2"/>
    <w:rsid w:val="00310837"/>
    <w:rsid w:val="00313F90"/>
    <w:rsid w:val="00314274"/>
    <w:rsid w:val="00316628"/>
    <w:rsid w:val="003209BA"/>
    <w:rsid w:val="00322A0E"/>
    <w:rsid w:val="00323418"/>
    <w:rsid w:val="00323EB4"/>
    <w:rsid w:val="00324B36"/>
    <w:rsid w:val="00324D58"/>
    <w:rsid w:val="00325E71"/>
    <w:rsid w:val="00326558"/>
    <w:rsid w:val="00326774"/>
    <w:rsid w:val="00327479"/>
    <w:rsid w:val="0033039D"/>
    <w:rsid w:val="00330A1E"/>
    <w:rsid w:val="003321B6"/>
    <w:rsid w:val="00332B12"/>
    <w:rsid w:val="003332AC"/>
    <w:rsid w:val="00333C91"/>
    <w:rsid w:val="0033495D"/>
    <w:rsid w:val="003357BF"/>
    <w:rsid w:val="00343A18"/>
    <w:rsid w:val="00344DD1"/>
    <w:rsid w:val="00345372"/>
    <w:rsid w:val="00360AA3"/>
    <w:rsid w:val="00360CE3"/>
    <w:rsid w:val="0036154D"/>
    <w:rsid w:val="00361A90"/>
    <w:rsid w:val="00362D48"/>
    <w:rsid w:val="00364FAD"/>
    <w:rsid w:val="00366332"/>
    <w:rsid w:val="0036738F"/>
    <w:rsid w:val="0036759C"/>
    <w:rsid w:val="003676BA"/>
    <w:rsid w:val="003676C3"/>
    <w:rsid w:val="00367AE5"/>
    <w:rsid w:val="00367D71"/>
    <w:rsid w:val="003717C7"/>
    <w:rsid w:val="0037202D"/>
    <w:rsid w:val="00372E96"/>
    <w:rsid w:val="00376100"/>
    <w:rsid w:val="003763B6"/>
    <w:rsid w:val="00376EE5"/>
    <w:rsid w:val="00376F9F"/>
    <w:rsid w:val="00377C37"/>
    <w:rsid w:val="0038150A"/>
    <w:rsid w:val="00381960"/>
    <w:rsid w:val="00381C65"/>
    <w:rsid w:val="00382B37"/>
    <w:rsid w:val="0038592B"/>
    <w:rsid w:val="00386058"/>
    <w:rsid w:val="00386795"/>
    <w:rsid w:val="00390138"/>
    <w:rsid w:val="00390AD3"/>
    <w:rsid w:val="003940F3"/>
    <w:rsid w:val="00394CE0"/>
    <w:rsid w:val="00395475"/>
    <w:rsid w:val="00395B8E"/>
    <w:rsid w:val="00395F98"/>
    <w:rsid w:val="0039720B"/>
    <w:rsid w:val="003976F3"/>
    <w:rsid w:val="003A1AD0"/>
    <w:rsid w:val="003A1FE9"/>
    <w:rsid w:val="003A362C"/>
    <w:rsid w:val="003A3FE3"/>
    <w:rsid w:val="003A42F5"/>
    <w:rsid w:val="003A5436"/>
    <w:rsid w:val="003A54BA"/>
    <w:rsid w:val="003A55C4"/>
    <w:rsid w:val="003A74EF"/>
    <w:rsid w:val="003B0A0D"/>
    <w:rsid w:val="003B22C7"/>
    <w:rsid w:val="003B4838"/>
    <w:rsid w:val="003B6E75"/>
    <w:rsid w:val="003B6E7E"/>
    <w:rsid w:val="003B7DA1"/>
    <w:rsid w:val="003C00F3"/>
    <w:rsid w:val="003C0757"/>
    <w:rsid w:val="003C12FE"/>
    <w:rsid w:val="003C161A"/>
    <w:rsid w:val="003C3080"/>
    <w:rsid w:val="003C4BFF"/>
    <w:rsid w:val="003C619C"/>
    <w:rsid w:val="003C6543"/>
    <w:rsid w:val="003C7DE4"/>
    <w:rsid w:val="003D0379"/>
    <w:rsid w:val="003D07DB"/>
    <w:rsid w:val="003D1E26"/>
    <w:rsid w:val="003D2503"/>
    <w:rsid w:val="003D2574"/>
    <w:rsid w:val="003D4C59"/>
    <w:rsid w:val="003D686A"/>
    <w:rsid w:val="003E0233"/>
    <w:rsid w:val="003E32CA"/>
    <w:rsid w:val="003E7272"/>
    <w:rsid w:val="003E7349"/>
    <w:rsid w:val="003E75E2"/>
    <w:rsid w:val="003F0991"/>
    <w:rsid w:val="003F0D15"/>
    <w:rsid w:val="003F3AEA"/>
    <w:rsid w:val="003F3B2B"/>
    <w:rsid w:val="003F4267"/>
    <w:rsid w:val="003F50F9"/>
    <w:rsid w:val="003F6F7C"/>
    <w:rsid w:val="003F7042"/>
    <w:rsid w:val="00401619"/>
    <w:rsid w:val="00403D09"/>
    <w:rsid w:val="00404032"/>
    <w:rsid w:val="00406D7A"/>
    <w:rsid w:val="00406DD2"/>
    <w:rsid w:val="0040736F"/>
    <w:rsid w:val="00407BA5"/>
    <w:rsid w:val="00412C1F"/>
    <w:rsid w:val="00413512"/>
    <w:rsid w:val="0041397C"/>
    <w:rsid w:val="004159F8"/>
    <w:rsid w:val="00416279"/>
    <w:rsid w:val="00416BFA"/>
    <w:rsid w:val="00420257"/>
    <w:rsid w:val="00420868"/>
    <w:rsid w:val="00421CB2"/>
    <w:rsid w:val="00423C89"/>
    <w:rsid w:val="00423EAB"/>
    <w:rsid w:val="004261F7"/>
    <w:rsid w:val="004268B9"/>
    <w:rsid w:val="0042754C"/>
    <w:rsid w:val="00432099"/>
    <w:rsid w:val="004332E4"/>
    <w:rsid w:val="00433A69"/>
    <w:rsid w:val="00433B96"/>
    <w:rsid w:val="00434790"/>
    <w:rsid w:val="00437733"/>
    <w:rsid w:val="004440F1"/>
    <w:rsid w:val="0044415D"/>
    <w:rsid w:val="004455BC"/>
    <w:rsid w:val="004456DD"/>
    <w:rsid w:val="00446085"/>
    <w:rsid w:val="00446CDF"/>
    <w:rsid w:val="00446E08"/>
    <w:rsid w:val="004521B7"/>
    <w:rsid w:val="00452FEE"/>
    <w:rsid w:val="00455A06"/>
    <w:rsid w:val="00455A6A"/>
    <w:rsid w:val="00455D37"/>
    <w:rsid w:val="0045613A"/>
    <w:rsid w:val="00457CCE"/>
    <w:rsid w:val="00460B6A"/>
    <w:rsid w:val="00461524"/>
    <w:rsid w:val="00462AB5"/>
    <w:rsid w:val="0046414D"/>
    <w:rsid w:val="00464542"/>
    <w:rsid w:val="00464D05"/>
    <w:rsid w:val="00465EAF"/>
    <w:rsid w:val="00467EC7"/>
    <w:rsid w:val="00470625"/>
    <w:rsid w:val="00470A86"/>
    <w:rsid w:val="00471964"/>
    <w:rsid w:val="004722D2"/>
    <w:rsid w:val="0047351F"/>
    <w:rsid w:val="004738C5"/>
    <w:rsid w:val="00474016"/>
    <w:rsid w:val="00474C2A"/>
    <w:rsid w:val="0047503D"/>
    <w:rsid w:val="00476627"/>
    <w:rsid w:val="00476CDE"/>
    <w:rsid w:val="00477C55"/>
    <w:rsid w:val="004800CB"/>
    <w:rsid w:val="0048015E"/>
    <w:rsid w:val="004819FE"/>
    <w:rsid w:val="00481CC1"/>
    <w:rsid w:val="00485494"/>
    <w:rsid w:val="00490E60"/>
    <w:rsid w:val="00491046"/>
    <w:rsid w:val="00491307"/>
    <w:rsid w:val="0049449D"/>
    <w:rsid w:val="004945B4"/>
    <w:rsid w:val="00494A91"/>
    <w:rsid w:val="00494ED3"/>
    <w:rsid w:val="00497D06"/>
    <w:rsid w:val="004A1EB4"/>
    <w:rsid w:val="004A2AC7"/>
    <w:rsid w:val="004A3EAE"/>
    <w:rsid w:val="004A4413"/>
    <w:rsid w:val="004A6D2F"/>
    <w:rsid w:val="004B327D"/>
    <w:rsid w:val="004B5708"/>
    <w:rsid w:val="004B644B"/>
    <w:rsid w:val="004B6807"/>
    <w:rsid w:val="004B6D7A"/>
    <w:rsid w:val="004C2887"/>
    <w:rsid w:val="004C44FE"/>
    <w:rsid w:val="004C6918"/>
    <w:rsid w:val="004C6F01"/>
    <w:rsid w:val="004C6FC5"/>
    <w:rsid w:val="004D0DBA"/>
    <w:rsid w:val="004D1B2B"/>
    <w:rsid w:val="004D2554"/>
    <w:rsid w:val="004D2626"/>
    <w:rsid w:val="004D30FD"/>
    <w:rsid w:val="004D3A93"/>
    <w:rsid w:val="004D483E"/>
    <w:rsid w:val="004D597B"/>
    <w:rsid w:val="004D6E26"/>
    <w:rsid w:val="004D77D3"/>
    <w:rsid w:val="004E0E5B"/>
    <w:rsid w:val="004E27A6"/>
    <w:rsid w:val="004E2959"/>
    <w:rsid w:val="004E7EEE"/>
    <w:rsid w:val="004F09E4"/>
    <w:rsid w:val="004F100E"/>
    <w:rsid w:val="004F1128"/>
    <w:rsid w:val="004F20EF"/>
    <w:rsid w:val="004F260A"/>
    <w:rsid w:val="004F27CA"/>
    <w:rsid w:val="004F2A47"/>
    <w:rsid w:val="004F3434"/>
    <w:rsid w:val="004F3CB9"/>
    <w:rsid w:val="004F652C"/>
    <w:rsid w:val="004F6615"/>
    <w:rsid w:val="004F703E"/>
    <w:rsid w:val="004F7AF1"/>
    <w:rsid w:val="00500B74"/>
    <w:rsid w:val="00502B0D"/>
    <w:rsid w:val="0050321C"/>
    <w:rsid w:val="005046E9"/>
    <w:rsid w:val="00507E3B"/>
    <w:rsid w:val="00511D59"/>
    <w:rsid w:val="00512191"/>
    <w:rsid w:val="00515E8A"/>
    <w:rsid w:val="00517BF4"/>
    <w:rsid w:val="00520354"/>
    <w:rsid w:val="005223AA"/>
    <w:rsid w:val="00522A6A"/>
    <w:rsid w:val="00522F06"/>
    <w:rsid w:val="00523412"/>
    <w:rsid w:val="00523E35"/>
    <w:rsid w:val="00524CD7"/>
    <w:rsid w:val="0052595A"/>
    <w:rsid w:val="00526B78"/>
    <w:rsid w:val="0052741B"/>
    <w:rsid w:val="005300D5"/>
    <w:rsid w:val="0053039F"/>
    <w:rsid w:val="005305BD"/>
    <w:rsid w:val="0053376D"/>
    <w:rsid w:val="00534A13"/>
    <w:rsid w:val="005367B7"/>
    <w:rsid w:val="005369EA"/>
    <w:rsid w:val="00536A53"/>
    <w:rsid w:val="00537BD6"/>
    <w:rsid w:val="005407E0"/>
    <w:rsid w:val="00540823"/>
    <w:rsid w:val="005422B3"/>
    <w:rsid w:val="00542A3D"/>
    <w:rsid w:val="00543A7D"/>
    <w:rsid w:val="00545041"/>
    <w:rsid w:val="00545370"/>
    <w:rsid w:val="005459E8"/>
    <w:rsid w:val="0054712D"/>
    <w:rsid w:val="00547EF6"/>
    <w:rsid w:val="0055120B"/>
    <w:rsid w:val="0055313C"/>
    <w:rsid w:val="00554BDE"/>
    <w:rsid w:val="0055522B"/>
    <w:rsid w:val="005570B5"/>
    <w:rsid w:val="005571E3"/>
    <w:rsid w:val="005603CD"/>
    <w:rsid w:val="0056421A"/>
    <w:rsid w:val="00566828"/>
    <w:rsid w:val="00567279"/>
    <w:rsid w:val="0056736E"/>
    <w:rsid w:val="00567E18"/>
    <w:rsid w:val="00570380"/>
    <w:rsid w:val="0057081B"/>
    <w:rsid w:val="005719CC"/>
    <w:rsid w:val="00572110"/>
    <w:rsid w:val="00572160"/>
    <w:rsid w:val="00575961"/>
    <w:rsid w:val="00575F5F"/>
    <w:rsid w:val="0058031A"/>
    <w:rsid w:val="00581805"/>
    <w:rsid w:val="005818C8"/>
    <w:rsid w:val="0058330D"/>
    <w:rsid w:val="00585F76"/>
    <w:rsid w:val="0058626C"/>
    <w:rsid w:val="005865ED"/>
    <w:rsid w:val="00590FF9"/>
    <w:rsid w:val="005A022D"/>
    <w:rsid w:val="005A34E4"/>
    <w:rsid w:val="005A4237"/>
    <w:rsid w:val="005A47C8"/>
    <w:rsid w:val="005A5705"/>
    <w:rsid w:val="005A5CA1"/>
    <w:rsid w:val="005A679D"/>
    <w:rsid w:val="005A6B52"/>
    <w:rsid w:val="005A7896"/>
    <w:rsid w:val="005B020D"/>
    <w:rsid w:val="005B17F2"/>
    <w:rsid w:val="005B264D"/>
    <w:rsid w:val="005B3AD8"/>
    <w:rsid w:val="005B5285"/>
    <w:rsid w:val="005B55EF"/>
    <w:rsid w:val="005B7FB0"/>
    <w:rsid w:val="005C007E"/>
    <w:rsid w:val="005C35A5"/>
    <w:rsid w:val="005C3FA3"/>
    <w:rsid w:val="005C577C"/>
    <w:rsid w:val="005C5E13"/>
    <w:rsid w:val="005C5E16"/>
    <w:rsid w:val="005C668C"/>
    <w:rsid w:val="005C69A8"/>
    <w:rsid w:val="005C7249"/>
    <w:rsid w:val="005D0621"/>
    <w:rsid w:val="005D1E27"/>
    <w:rsid w:val="005D2444"/>
    <w:rsid w:val="005D2A3E"/>
    <w:rsid w:val="005D4972"/>
    <w:rsid w:val="005D4BC9"/>
    <w:rsid w:val="005D5369"/>
    <w:rsid w:val="005D58A0"/>
    <w:rsid w:val="005D6E12"/>
    <w:rsid w:val="005D76D6"/>
    <w:rsid w:val="005E022E"/>
    <w:rsid w:val="005E0254"/>
    <w:rsid w:val="005E11ED"/>
    <w:rsid w:val="005E23B3"/>
    <w:rsid w:val="005E288E"/>
    <w:rsid w:val="005E5215"/>
    <w:rsid w:val="005E5657"/>
    <w:rsid w:val="005E64CB"/>
    <w:rsid w:val="005F01A3"/>
    <w:rsid w:val="005F02D7"/>
    <w:rsid w:val="005F1F7E"/>
    <w:rsid w:val="005F4CEB"/>
    <w:rsid w:val="005F7F7E"/>
    <w:rsid w:val="00600E9D"/>
    <w:rsid w:val="00601A34"/>
    <w:rsid w:val="00602452"/>
    <w:rsid w:val="00602733"/>
    <w:rsid w:val="00603608"/>
    <w:rsid w:val="00603A2F"/>
    <w:rsid w:val="00603BBA"/>
    <w:rsid w:val="00604162"/>
    <w:rsid w:val="00604A65"/>
    <w:rsid w:val="00604B4C"/>
    <w:rsid w:val="006066BA"/>
    <w:rsid w:val="00607108"/>
    <w:rsid w:val="006073E6"/>
    <w:rsid w:val="006124CA"/>
    <w:rsid w:val="00614693"/>
    <w:rsid w:val="00614D6B"/>
    <w:rsid w:val="006151ED"/>
    <w:rsid w:val="00620EA0"/>
    <w:rsid w:val="00623C2F"/>
    <w:rsid w:val="006252DB"/>
    <w:rsid w:val="00627083"/>
    <w:rsid w:val="0062796A"/>
    <w:rsid w:val="00630C9F"/>
    <w:rsid w:val="0063157A"/>
    <w:rsid w:val="00632588"/>
    <w:rsid w:val="00633578"/>
    <w:rsid w:val="00634478"/>
    <w:rsid w:val="00634D35"/>
    <w:rsid w:val="00636769"/>
    <w:rsid w:val="00636A00"/>
    <w:rsid w:val="00637068"/>
    <w:rsid w:val="00637A6A"/>
    <w:rsid w:val="0064030C"/>
    <w:rsid w:val="00640B28"/>
    <w:rsid w:val="006413BF"/>
    <w:rsid w:val="00642EFF"/>
    <w:rsid w:val="00643ECB"/>
    <w:rsid w:val="006450DE"/>
    <w:rsid w:val="0064625F"/>
    <w:rsid w:val="00647EB2"/>
    <w:rsid w:val="00650642"/>
    <w:rsid w:val="00650811"/>
    <w:rsid w:val="006546AD"/>
    <w:rsid w:val="00657207"/>
    <w:rsid w:val="0065764E"/>
    <w:rsid w:val="0066075A"/>
    <w:rsid w:val="00661D3E"/>
    <w:rsid w:val="006633F1"/>
    <w:rsid w:val="006634D8"/>
    <w:rsid w:val="0066395F"/>
    <w:rsid w:val="00664004"/>
    <w:rsid w:val="00664FF8"/>
    <w:rsid w:val="00666094"/>
    <w:rsid w:val="006676BC"/>
    <w:rsid w:val="0067298D"/>
    <w:rsid w:val="00672B90"/>
    <w:rsid w:val="00681BEE"/>
    <w:rsid w:val="00686C24"/>
    <w:rsid w:val="00690479"/>
    <w:rsid w:val="00691BFA"/>
    <w:rsid w:val="0069208B"/>
    <w:rsid w:val="00692627"/>
    <w:rsid w:val="006927FE"/>
    <w:rsid w:val="0069333C"/>
    <w:rsid w:val="006945AD"/>
    <w:rsid w:val="00694A16"/>
    <w:rsid w:val="0069664A"/>
    <w:rsid w:val="006969E7"/>
    <w:rsid w:val="0069773D"/>
    <w:rsid w:val="006977C1"/>
    <w:rsid w:val="00697F53"/>
    <w:rsid w:val="006A03DC"/>
    <w:rsid w:val="006A24EB"/>
    <w:rsid w:val="006A3643"/>
    <w:rsid w:val="006A3DC9"/>
    <w:rsid w:val="006A6164"/>
    <w:rsid w:val="006A6BF4"/>
    <w:rsid w:val="006A7279"/>
    <w:rsid w:val="006B06A0"/>
    <w:rsid w:val="006B110D"/>
    <w:rsid w:val="006B222F"/>
    <w:rsid w:val="006B2809"/>
    <w:rsid w:val="006B401C"/>
    <w:rsid w:val="006B7532"/>
    <w:rsid w:val="006B77BE"/>
    <w:rsid w:val="006B79D4"/>
    <w:rsid w:val="006B7C26"/>
    <w:rsid w:val="006B7F04"/>
    <w:rsid w:val="006C02AD"/>
    <w:rsid w:val="006C0662"/>
    <w:rsid w:val="006C1250"/>
    <w:rsid w:val="006C2A29"/>
    <w:rsid w:val="006C32F5"/>
    <w:rsid w:val="006C3DDD"/>
    <w:rsid w:val="006C483B"/>
    <w:rsid w:val="006C560C"/>
    <w:rsid w:val="006C577F"/>
    <w:rsid w:val="006C64CF"/>
    <w:rsid w:val="006C6AFD"/>
    <w:rsid w:val="006C745D"/>
    <w:rsid w:val="006C78E9"/>
    <w:rsid w:val="006D17B1"/>
    <w:rsid w:val="006D1FD7"/>
    <w:rsid w:val="006D4147"/>
    <w:rsid w:val="006D4339"/>
    <w:rsid w:val="006D4752"/>
    <w:rsid w:val="006D583C"/>
    <w:rsid w:val="006D66A3"/>
    <w:rsid w:val="006D708A"/>
    <w:rsid w:val="006D79CD"/>
    <w:rsid w:val="006D7C72"/>
    <w:rsid w:val="006E14C1"/>
    <w:rsid w:val="006E1ADB"/>
    <w:rsid w:val="006E406E"/>
    <w:rsid w:val="006E4B8F"/>
    <w:rsid w:val="006E61D6"/>
    <w:rsid w:val="006F0292"/>
    <w:rsid w:val="006F1780"/>
    <w:rsid w:val="006F2418"/>
    <w:rsid w:val="006F2709"/>
    <w:rsid w:val="006F27FA"/>
    <w:rsid w:val="006F2D22"/>
    <w:rsid w:val="006F3AF6"/>
    <w:rsid w:val="006F416B"/>
    <w:rsid w:val="006F4D93"/>
    <w:rsid w:val="006F4FD5"/>
    <w:rsid w:val="006F519B"/>
    <w:rsid w:val="006F7CC4"/>
    <w:rsid w:val="006F7FA7"/>
    <w:rsid w:val="007001FC"/>
    <w:rsid w:val="00702AF1"/>
    <w:rsid w:val="0070529F"/>
    <w:rsid w:val="0070575B"/>
    <w:rsid w:val="007075C2"/>
    <w:rsid w:val="00712C94"/>
    <w:rsid w:val="00713675"/>
    <w:rsid w:val="00715823"/>
    <w:rsid w:val="00722B7D"/>
    <w:rsid w:val="00724337"/>
    <w:rsid w:val="0073065E"/>
    <w:rsid w:val="00731644"/>
    <w:rsid w:val="0073201C"/>
    <w:rsid w:val="00732BDF"/>
    <w:rsid w:val="007333C3"/>
    <w:rsid w:val="00734425"/>
    <w:rsid w:val="0073531E"/>
    <w:rsid w:val="00736034"/>
    <w:rsid w:val="00736614"/>
    <w:rsid w:val="00736955"/>
    <w:rsid w:val="00737B93"/>
    <w:rsid w:val="007415CA"/>
    <w:rsid w:val="00744A70"/>
    <w:rsid w:val="00745BF0"/>
    <w:rsid w:val="0074685F"/>
    <w:rsid w:val="007472C6"/>
    <w:rsid w:val="0075036D"/>
    <w:rsid w:val="00751FD3"/>
    <w:rsid w:val="00752960"/>
    <w:rsid w:val="00752ADC"/>
    <w:rsid w:val="0075664A"/>
    <w:rsid w:val="0075707F"/>
    <w:rsid w:val="007615FE"/>
    <w:rsid w:val="007624E6"/>
    <w:rsid w:val="0076287E"/>
    <w:rsid w:val="00762B40"/>
    <w:rsid w:val="0076348D"/>
    <w:rsid w:val="007648D6"/>
    <w:rsid w:val="0076655C"/>
    <w:rsid w:val="00770551"/>
    <w:rsid w:val="007714C1"/>
    <w:rsid w:val="00773000"/>
    <w:rsid w:val="007742DC"/>
    <w:rsid w:val="00775283"/>
    <w:rsid w:val="007758A4"/>
    <w:rsid w:val="007766F3"/>
    <w:rsid w:val="00780CF7"/>
    <w:rsid w:val="007839B9"/>
    <w:rsid w:val="00784884"/>
    <w:rsid w:val="00785023"/>
    <w:rsid w:val="00785148"/>
    <w:rsid w:val="007907D7"/>
    <w:rsid w:val="00791437"/>
    <w:rsid w:val="0079321F"/>
    <w:rsid w:val="00793837"/>
    <w:rsid w:val="00796CEC"/>
    <w:rsid w:val="00797AC9"/>
    <w:rsid w:val="007A01AA"/>
    <w:rsid w:val="007A0A97"/>
    <w:rsid w:val="007A3813"/>
    <w:rsid w:val="007A38CD"/>
    <w:rsid w:val="007A51AE"/>
    <w:rsid w:val="007A5620"/>
    <w:rsid w:val="007A64CE"/>
    <w:rsid w:val="007A7DA6"/>
    <w:rsid w:val="007B0C2C"/>
    <w:rsid w:val="007B12FE"/>
    <w:rsid w:val="007B23BD"/>
    <w:rsid w:val="007B278E"/>
    <w:rsid w:val="007B2B0E"/>
    <w:rsid w:val="007B3359"/>
    <w:rsid w:val="007B43FB"/>
    <w:rsid w:val="007B4795"/>
    <w:rsid w:val="007C023C"/>
    <w:rsid w:val="007C282E"/>
    <w:rsid w:val="007C3B5B"/>
    <w:rsid w:val="007C3CF1"/>
    <w:rsid w:val="007C42D2"/>
    <w:rsid w:val="007C5C23"/>
    <w:rsid w:val="007C6F8A"/>
    <w:rsid w:val="007D0C41"/>
    <w:rsid w:val="007D0E21"/>
    <w:rsid w:val="007D1829"/>
    <w:rsid w:val="007D4D6B"/>
    <w:rsid w:val="007D6B84"/>
    <w:rsid w:val="007D75A8"/>
    <w:rsid w:val="007E0F4C"/>
    <w:rsid w:val="007E13DD"/>
    <w:rsid w:val="007E16CE"/>
    <w:rsid w:val="007E205B"/>
    <w:rsid w:val="007E28E1"/>
    <w:rsid w:val="007E2A26"/>
    <w:rsid w:val="007E3D31"/>
    <w:rsid w:val="007E48D6"/>
    <w:rsid w:val="007E64F0"/>
    <w:rsid w:val="007E75B1"/>
    <w:rsid w:val="007F0269"/>
    <w:rsid w:val="007F0928"/>
    <w:rsid w:val="007F0A26"/>
    <w:rsid w:val="007F1C7F"/>
    <w:rsid w:val="007F2348"/>
    <w:rsid w:val="007F5F65"/>
    <w:rsid w:val="007F618A"/>
    <w:rsid w:val="007F6499"/>
    <w:rsid w:val="008015E8"/>
    <w:rsid w:val="0080190A"/>
    <w:rsid w:val="00801D11"/>
    <w:rsid w:val="00802422"/>
    <w:rsid w:val="00803F07"/>
    <w:rsid w:val="00803F1A"/>
    <w:rsid w:val="008050A5"/>
    <w:rsid w:val="00805ABB"/>
    <w:rsid w:val="008062C7"/>
    <w:rsid w:val="00806B00"/>
    <w:rsid w:val="0080749A"/>
    <w:rsid w:val="008074F3"/>
    <w:rsid w:val="008077F8"/>
    <w:rsid w:val="008135B1"/>
    <w:rsid w:val="008143FE"/>
    <w:rsid w:val="00814BCA"/>
    <w:rsid w:val="0081591F"/>
    <w:rsid w:val="008172FC"/>
    <w:rsid w:val="00817482"/>
    <w:rsid w:val="00817D67"/>
    <w:rsid w:val="00820D78"/>
    <w:rsid w:val="00821FB8"/>
    <w:rsid w:val="00822ACD"/>
    <w:rsid w:val="008256E0"/>
    <w:rsid w:val="008265FD"/>
    <w:rsid w:val="00826CE8"/>
    <w:rsid w:val="00827DE6"/>
    <w:rsid w:val="008300EB"/>
    <w:rsid w:val="0083132A"/>
    <w:rsid w:val="008324EA"/>
    <w:rsid w:val="00832F91"/>
    <w:rsid w:val="008336DF"/>
    <w:rsid w:val="00834726"/>
    <w:rsid w:val="00834AED"/>
    <w:rsid w:val="00835EAB"/>
    <w:rsid w:val="00836886"/>
    <w:rsid w:val="00836AE5"/>
    <w:rsid w:val="00837854"/>
    <w:rsid w:val="0084029B"/>
    <w:rsid w:val="00840885"/>
    <w:rsid w:val="00841650"/>
    <w:rsid w:val="00841FE1"/>
    <w:rsid w:val="00843591"/>
    <w:rsid w:val="00844A3C"/>
    <w:rsid w:val="008506C4"/>
    <w:rsid w:val="00851CD5"/>
    <w:rsid w:val="00852FE1"/>
    <w:rsid w:val="008530EB"/>
    <w:rsid w:val="0085352C"/>
    <w:rsid w:val="00855C66"/>
    <w:rsid w:val="008568D6"/>
    <w:rsid w:val="00857134"/>
    <w:rsid w:val="008575E2"/>
    <w:rsid w:val="00857F02"/>
    <w:rsid w:val="0086218C"/>
    <w:rsid w:val="0086293E"/>
    <w:rsid w:val="00863602"/>
    <w:rsid w:val="00864FAA"/>
    <w:rsid w:val="00866DBA"/>
    <w:rsid w:val="00867800"/>
    <w:rsid w:val="00871859"/>
    <w:rsid w:val="00871C32"/>
    <w:rsid w:val="00871EE4"/>
    <w:rsid w:val="00872059"/>
    <w:rsid w:val="00872B70"/>
    <w:rsid w:val="0087609E"/>
    <w:rsid w:val="00876831"/>
    <w:rsid w:val="00880DDD"/>
    <w:rsid w:val="008837D8"/>
    <w:rsid w:val="00883BA7"/>
    <w:rsid w:val="00884F7C"/>
    <w:rsid w:val="00885482"/>
    <w:rsid w:val="00886820"/>
    <w:rsid w:val="00886CF6"/>
    <w:rsid w:val="00886F33"/>
    <w:rsid w:val="0089212D"/>
    <w:rsid w:val="00894D29"/>
    <w:rsid w:val="008958B8"/>
    <w:rsid w:val="00896726"/>
    <w:rsid w:val="00896DE7"/>
    <w:rsid w:val="00897C3E"/>
    <w:rsid w:val="008A1308"/>
    <w:rsid w:val="008A1CC5"/>
    <w:rsid w:val="008A4D6B"/>
    <w:rsid w:val="008A5EBE"/>
    <w:rsid w:val="008A7B67"/>
    <w:rsid w:val="008B0D2B"/>
    <w:rsid w:val="008B19D0"/>
    <w:rsid w:val="008B224D"/>
    <w:rsid w:val="008B293F"/>
    <w:rsid w:val="008B305E"/>
    <w:rsid w:val="008B3FF6"/>
    <w:rsid w:val="008B6745"/>
    <w:rsid w:val="008B7371"/>
    <w:rsid w:val="008B769E"/>
    <w:rsid w:val="008C0A73"/>
    <w:rsid w:val="008C2114"/>
    <w:rsid w:val="008C382F"/>
    <w:rsid w:val="008D0B22"/>
    <w:rsid w:val="008D3180"/>
    <w:rsid w:val="008D3C11"/>
    <w:rsid w:val="008D3DDB"/>
    <w:rsid w:val="008D3FE6"/>
    <w:rsid w:val="008D40B9"/>
    <w:rsid w:val="008D5B32"/>
    <w:rsid w:val="008D65A5"/>
    <w:rsid w:val="008D7272"/>
    <w:rsid w:val="008D7BF9"/>
    <w:rsid w:val="008E04AF"/>
    <w:rsid w:val="008E0C96"/>
    <w:rsid w:val="008E29B2"/>
    <w:rsid w:val="008E31C9"/>
    <w:rsid w:val="008E59BE"/>
    <w:rsid w:val="008E63DE"/>
    <w:rsid w:val="008E7C74"/>
    <w:rsid w:val="008F094F"/>
    <w:rsid w:val="008F09F3"/>
    <w:rsid w:val="008F0ADE"/>
    <w:rsid w:val="008F14BF"/>
    <w:rsid w:val="008F2FDD"/>
    <w:rsid w:val="008F5168"/>
    <w:rsid w:val="008F5712"/>
    <w:rsid w:val="008F573F"/>
    <w:rsid w:val="008F6E30"/>
    <w:rsid w:val="008F71C9"/>
    <w:rsid w:val="008F7357"/>
    <w:rsid w:val="00900B62"/>
    <w:rsid w:val="009010A6"/>
    <w:rsid w:val="00901B31"/>
    <w:rsid w:val="009023B2"/>
    <w:rsid w:val="00902D09"/>
    <w:rsid w:val="009034EC"/>
    <w:rsid w:val="0090421C"/>
    <w:rsid w:val="0090427E"/>
    <w:rsid w:val="00904460"/>
    <w:rsid w:val="00905148"/>
    <w:rsid w:val="009054C8"/>
    <w:rsid w:val="009056E5"/>
    <w:rsid w:val="00911085"/>
    <w:rsid w:val="00911258"/>
    <w:rsid w:val="00913723"/>
    <w:rsid w:val="009168D9"/>
    <w:rsid w:val="00916C63"/>
    <w:rsid w:val="009208BD"/>
    <w:rsid w:val="009210B1"/>
    <w:rsid w:val="00921926"/>
    <w:rsid w:val="00921C1C"/>
    <w:rsid w:val="00922AAB"/>
    <w:rsid w:val="00923390"/>
    <w:rsid w:val="00924310"/>
    <w:rsid w:val="0092617C"/>
    <w:rsid w:val="00927B21"/>
    <w:rsid w:val="00927F20"/>
    <w:rsid w:val="0093016B"/>
    <w:rsid w:val="0093067A"/>
    <w:rsid w:val="009306BD"/>
    <w:rsid w:val="00930C84"/>
    <w:rsid w:val="00931D0D"/>
    <w:rsid w:val="00932C45"/>
    <w:rsid w:val="009333F7"/>
    <w:rsid w:val="00934C3F"/>
    <w:rsid w:val="00934D30"/>
    <w:rsid w:val="00934E6B"/>
    <w:rsid w:val="009367F2"/>
    <w:rsid w:val="009370F6"/>
    <w:rsid w:val="009372F1"/>
    <w:rsid w:val="00941C60"/>
    <w:rsid w:val="0094296A"/>
    <w:rsid w:val="00944F46"/>
    <w:rsid w:val="009459D9"/>
    <w:rsid w:val="009461E7"/>
    <w:rsid w:val="00946452"/>
    <w:rsid w:val="009477B5"/>
    <w:rsid w:val="00950257"/>
    <w:rsid w:val="00951390"/>
    <w:rsid w:val="00952FBA"/>
    <w:rsid w:val="009559D8"/>
    <w:rsid w:val="00956A47"/>
    <w:rsid w:val="00957365"/>
    <w:rsid w:val="009603A2"/>
    <w:rsid w:val="00960799"/>
    <w:rsid w:val="00964041"/>
    <w:rsid w:val="00964187"/>
    <w:rsid w:val="0096438F"/>
    <w:rsid w:val="00966D42"/>
    <w:rsid w:val="00970A75"/>
    <w:rsid w:val="009715B3"/>
    <w:rsid w:val="00971689"/>
    <w:rsid w:val="00971F45"/>
    <w:rsid w:val="00973803"/>
    <w:rsid w:val="00973E90"/>
    <w:rsid w:val="0097428E"/>
    <w:rsid w:val="00974C72"/>
    <w:rsid w:val="00975B07"/>
    <w:rsid w:val="00976BCD"/>
    <w:rsid w:val="00977766"/>
    <w:rsid w:val="00980150"/>
    <w:rsid w:val="00980B4A"/>
    <w:rsid w:val="009821E2"/>
    <w:rsid w:val="009840A0"/>
    <w:rsid w:val="00993DF6"/>
    <w:rsid w:val="009955BD"/>
    <w:rsid w:val="00996640"/>
    <w:rsid w:val="0099724D"/>
    <w:rsid w:val="009A00D0"/>
    <w:rsid w:val="009A32CA"/>
    <w:rsid w:val="009A34AD"/>
    <w:rsid w:val="009A3C01"/>
    <w:rsid w:val="009A477F"/>
    <w:rsid w:val="009A68D9"/>
    <w:rsid w:val="009A764E"/>
    <w:rsid w:val="009AD73A"/>
    <w:rsid w:val="009B0200"/>
    <w:rsid w:val="009B0344"/>
    <w:rsid w:val="009B11F3"/>
    <w:rsid w:val="009B19BD"/>
    <w:rsid w:val="009B381B"/>
    <w:rsid w:val="009B4BFF"/>
    <w:rsid w:val="009B5B75"/>
    <w:rsid w:val="009B6D80"/>
    <w:rsid w:val="009B708C"/>
    <w:rsid w:val="009B76C1"/>
    <w:rsid w:val="009B78A1"/>
    <w:rsid w:val="009B7BF6"/>
    <w:rsid w:val="009C0CE9"/>
    <w:rsid w:val="009C177B"/>
    <w:rsid w:val="009C2C96"/>
    <w:rsid w:val="009C59A8"/>
    <w:rsid w:val="009C59F4"/>
    <w:rsid w:val="009C5D8B"/>
    <w:rsid w:val="009D0DE0"/>
    <w:rsid w:val="009D32A0"/>
    <w:rsid w:val="009D7424"/>
    <w:rsid w:val="009E0AA3"/>
    <w:rsid w:val="009E1B80"/>
    <w:rsid w:val="009E29FD"/>
    <w:rsid w:val="009E3D0A"/>
    <w:rsid w:val="009E4858"/>
    <w:rsid w:val="009E51FC"/>
    <w:rsid w:val="009E5D6E"/>
    <w:rsid w:val="009E763E"/>
    <w:rsid w:val="009F02E5"/>
    <w:rsid w:val="009F176B"/>
    <w:rsid w:val="009F1D28"/>
    <w:rsid w:val="009F3585"/>
    <w:rsid w:val="009F3674"/>
    <w:rsid w:val="009F3F09"/>
    <w:rsid w:val="009F4103"/>
    <w:rsid w:val="009F622C"/>
    <w:rsid w:val="009F6EEC"/>
    <w:rsid w:val="009F74A1"/>
    <w:rsid w:val="009F7618"/>
    <w:rsid w:val="00A01A7E"/>
    <w:rsid w:val="00A02735"/>
    <w:rsid w:val="00A0396D"/>
    <w:rsid w:val="00A04CDB"/>
    <w:rsid w:val="00A04D23"/>
    <w:rsid w:val="00A059DD"/>
    <w:rsid w:val="00A06743"/>
    <w:rsid w:val="00A06766"/>
    <w:rsid w:val="00A07CA5"/>
    <w:rsid w:val="00A11423"/>
    <w:rsid w:val="00A11896"/>
    <w:rsid w:val="00A12649"/>
    <w:rsid w:val="00A12FC7"/>
    <w:rsid w:val="00A13062"/>
    <w:rsid w:val="00A13765"/>
    <w:rsid w:val="00A158FF"/>
    <w:rsid w:val="00A17168"/>
    <w:rsid w:val="00A173DA"/>
    <w:rsid w:val="00A17470"/>
    <w:rsid w:val="00A21278"/>
    <w:rsid w:val="00A21B12"/>
    <w:rsid w:val="00A22708"/>
    <w:rsid w:val="00A23CB8"/>
    <w:rsid w:val="00A23F80"/>
    <w:rsid w:val="00A24836"/>
    <w:rsid w:val="00A302D1"/>
    <w:rsid w:val="00A31C7F"/>
    <w:rsid w:val="00A35FDB"/>
    <w:rsid w:val="00A36624"/>
    <w:rsid w:val="00A3669C"/>
    <w:rsid w:val="00A36BBB"/>
    <w:rsid w:val="00A40EFD"/>
    <w:rsid w:val="00A413FC"/>
    <w:rsid w:val="00A4165B"/>
    <w:rsid w:val="00A46404"/>
    <w:rsid w:val="00A46CDF"/>
    <w:rsid w:val="00A46CED"/>
    <w:rsid w:val="00A46E98"/>
    <w:rsid w:val="00A46FE0"/>
    <w:rsid w:val="00A5023A"/>
    <w:rsid w:val="00A50727"/>
    <w:rsid w:val="00A51AFF"/>
    <w:rsid w:val="00A51D23"/>
    <w:rsid w:val="00A523F4"/>
    <w:rsid w:val="00A54385"/>
    <w:rsid w:val="00A6352B"/>
    <w:rsid w:val="00A65A22"/>
    <w:rsid w:val="00A666B3"/>
    <w:rsid w:val="00A67465"/>
    <w:rsid w:val="00A67BC1"/>
    <w:rsid w:val="00A701B5"/>
    <w:rsid w:val="00A70EFC"/>
    <w:rsid w:val="00A714BB"/>
    <w:rsid w:val="00A71F72"/>
    <w:rsid w:val="00A728FE"/>
    <w:rsid w:val="00A7477D"/>
    <w:rsid w:val="00A76EF6"/>
    <w:rsid w:val="00A77283"/>
    <w:rsid w:val="00A774B4"/>
    <w:rsid w:val="00A77659"/>
    <w:rsid w:val="00A80B23"/>
    <w:rsid w:val="00A81280"/>
    <w:rsid w:val="00A826A2"/>
    <w:rsid w:val="00A82AF9"/>
    <w:rsid w:val="00A859C0"/>
    <w:rsid w:val="00A85B0E"/>
    <w:rsid w:val="00A90B00"/>
    <w:rsid w:val="00A91B9B"/>
    <w:rsid w:val="00A9244B"/>
    <w:rsid w:val="00A92D8F"/>
    <w:rsid w:val="00A93767"/>
    <w:rsid w:val="00A94C30"/>
    <w:rsid w:val="00AA1967"/>
    <w:rsid w:val="00AA3702"/>
    <w:rsid w:val="00AA40D9"/>
    <w:rsid w:val="00AA5D03"/>
    <w:rsid w:val="00AA6DE1"/>
    <w:rsid w:val="00AB00FB"/>
    <w:rsid w:val="00AB0E9B"/>
    <w:rsid w:val="00AB24EA"/>
    <w:rsid w:val="00AB2988"/>
    <w:rsid w:val="00AB62F0"/>
    <w:rsid w:val="00AB6A97"/>
    <w:rsid w:val="00AB6B54"/>
    <w:rsid w:val="00AB7999"/>
    <w:rsid w:val="00AC02D0"/>
    <w:rsid w:val="00AC1715"/>
    <w:rsid w:val="00AC3073"/>
    <w:rsid w:val="00AC4174"/>
    <w:rsid w:val="00AC64A2"/>
    <w:rsid w:val="00AC659B"/>
    <w:rsid w:val="00AD0472"/>
    <w:rsid w:val="00AD186F"/>
    <w:rsid w:val="00AD204C"/>
    <w:rsid w:val="00AD3240"/>
    <w:rsid w:val="00AD3292"/>
    <w:rsid w:val="00AD4288"/>
    <w:rsid w:val="00AD51BB"/>
    <w:rsid w:val="00AD73AE"/>
    <w:rsid w:val="00AD74C1"/>
    <w:rsid w:val="00AD7C78"/>
    <w:rsid w:val="00AE0FC6"/>
    <w:rsid w:val="00AE303E"/>
    <w:rsid w:val="00AE6ECD"/>
    <w:rsid w:val="00AE7AF0"/>
    <w:rsid w:val="00AE7BB8"/>
    <w:rsid w:val="00AF0804"/>
    <w:rsid w:val="00AF300F"/>
    <w:rsid w:val="00AF3650"/>
    <w:rsid w:val="00AF386F"/>
    <w:rsid w:val="00AF614F"/>
    <w:rsid w:val="00AF7460"/>
    <w:rsid w:val="00AF7702"/>
    <w:rsid w:val="00AF7D7F"/>
    <w:rsid w:val="00AF7E6D"/>
    <w:rsid w:val="00B01C45"/>
    <w:rsid w:val="00B01E78"/>
    <w:rsid w:val="00B0238A"/>
    <w:rsid w:val="00B02A94"/>
    <w:rsid w:val="00B02C0B"/>
    <w:rsid w:val="00B071A0"/>
    <w:rsid w:val="00B11B9B"/>
    <w:rsid w:val="00B123AC"/>
    <w:rsid w:val="00B12DC2"/>
    <w:rsid w:val="00B12EBD"/>
    <w:rsid w:val="00B153AB"/>
    <w:rsid w:val="00B17804"/>
    <w:rsid w:val="00B17D4B"/>
    <w:rsid w:val="00B2061D"/>
    <w:rsid w:val="00B22FEE"/>
    <w:rsid w:val="00B24899"/>
    <w:rsid w:val="00B32485"/>
    <w:rsid w:val="00B32808"/>
    <w:rsid w:val="00B32995"/>
    <w:rsid w:val="00B356DD"/>
    <w:rsid w:val="00B36454"/>
    <w:rsid w:val="00B37BB6"/>
    <w:rsid w:val="00B40416"/>
    <w:rsid w:val="00B404E9"/>
    <w:rsid w:val="00B417C8"/>
    <w:rsid w:val="00B41F0A"/>
    <w:rsid w:val="00B422D2"/>
    <w:rsid w:val="00B43003"/>
    <w:rsid w:val="00B436A9"/>
    <w:rsid w:val="00B43A09"/>
    <w:rsid w:val="00B44E1B"/>
    <w:rsid w:val="00B45680"/>
    <w:rsid w:val="00B46930"/>
    <w:rsid w:val="00B475FF"/>
    <w:rsid w:val="00B500CA"/>
    <w:rsid w:val="00B5254A"/>
    <w:rsid w:val="00B537C2"/>
    <w:rsid w:val="00B53FB6"/>
    <w:rsid w:val="00B60AE2"/>
    <w:rsid w:val="00B611A1"/>
    <w:rsid w:val="00B61346"/>
    <w:rsid w:val="00B61C6A"/>
    <w:rsid w:val="00B641D9"/>
    <w:rsid w:val="00B6503D"/>
    <w:rsid w:val="00B66BE1"/>
    <w:rsid w:val="00B71CA0"/>
    <w:rsid w:val="00B72ACD"/>
    <w:rsid w:val="00B74923"/>
    <w:rsid w:val="00B7590C"/>
    <w:rsid w:val="00B76175"/>
    <w:rsid w:val="00B8084E"/>
    <w:rsid w:val="00B8090F"/>
    <w:rsid w:val="00B80C36"/>
    <w:rsid w:val="00B834BD"/>
    <w:rsid w:val="00B83F15"/>
    <w:rsid w:val="00B84D7D"/>
    <w:rsid w:val="00B859F5"/>
    <w:rsid w:val="00B86314"/>
    <w:rsid w:val="00B87030"/>
    <w:rsid w:val="00B87386"/>
    <w:rsid w:val="00B9233C"/>
    <w:rsid w:val="00B92AA5"/>
    <w:rsid w:val="00B93514"/>
    <w:rsid w:val="00B936A4"/>
    <w:rsid w:val="00B937D2"/>
    <w:rsid w:val="00B94D18"/>
    <w:rsid w:val="00B954BE"/>
    <w:rsid w:val="00B968EC"/>
    <w:rsid w:val="00B96D44"/>
    <w:rsid w:val="00BA09C7"/>
    <w:rsid w:val="00BA1C2E"/>
    <w:rsid w:val="00BA6A54"/>
    <w:rsid w:val="00BA718D"/>
    <w:rsid w:val="00BB12F0"/>
    <w:rsid w:val="00BB2452"/>
    <w:rsid w:val="00BB318F"/>
    <w:rsid w:val="00BB3BC1"/>
    <w:rsid w:val="00BB420C"/>
    <w:rsid w:val="00BB6A43"/>
    <w:rsid w:val="00BB74FC"/>
    <w:rsid w:val="00BC1557"/>
    <w:rsid w:val="00BC1A47"/>
    <w:rsid w:val="00BC1CBA"/>
    <w:rsid w:val="00BC1CE1"/>
    <w:rsid w:val="00BC1F43"/>
    <w:rsid w:val="00BC200B"/>
    <w:rsid w:val="00BC254C"/>
    <w:rsid w:val="00BC4756"/>
    <w:rsid w:val="00BC47BE"/>
    <w:rsid w:val="00BC54ED"/>
    <w:rsid w:val="00BC69A4"/>
    <w:rsid w:val="00BC73EE"/>
    <w:rsid w:val="00BC7571"/>
    <w:rsid w:val="00BD17B6"/>
    <w:rsid w:val="00BD3B6D"/>
    <w:rsid w:val="00BD5867"/>
    <w:rsid w:val="00BD6B10"/>
    <w:rsid w:val="00BE0680"/>
    <w:rsid w:val="00BE305F"/>
    <w:rsid w:val="00BE578F"/>
    <w:rsid w:val="00BE5A97"/>
    <w:rsid w:val="00BE6461"/>
    <w:rsid w:val="00BE7BA3"/>
    <w:rsid w:val="00BF2AF4"/>
    <w:rsid w:val="00BF4CAC"/>
    <w:rsid w:val="00BF4D72"/>
    <w:rsid w:val="00BF4EE9"/>
    <w:rsid w:val="00BF5627"/>
    <w:rsid w:val="00BF5682"/>
    <w:rsid w:val="00BF61C3"/>
    <w:rsid w:val="00BF7B09"/>
    <w:rsid w:val="00C003D2"/>
    <w:rsid w:val="00C0059E"/>
    <w:rsid w:val="00C00652"/>
    <w:rsid w:val="00C00F7E"/>
    <w:rsid w:val="00C0174C"/>
    <w:rsid w:val="00C03F57"/>
    <w:rsid w:val="00C0425E"/>
    <w:rsid w:val="00C0509E"/>
    <w:rsid w:val="00C1061D"/>
    <w:rsid w:val="00C1074D"/>
    <w:rsid w:val="00C10C69"/>
    <w:rsid w:val="00C11950"/>
    <w:rsid w:val="00C11BBF"/>
    <w:rsid w:val="00C13033"/>
    <w:rsid w:val="00C20A95"/>
    <w:rsid w:val="00C21DFA"/>
    <w:rsid w:val="00C2325B"/>
    <w:rsid w:val="00C23F79"/>
    <w:rsid w:val="00C25AD8"/>
    <w:rsid w:val="00C2674F"/>
    <w:rsid w:val="00C2692F"/>
    <w:rsid w:val="00C3207C"/>
    <w:rsid w:val="00C32898"/>
    <w:rsid w:val="00C32BB4"/>
    <w:rsid w:val="00C34670"/>
    <w:rsid w:val="00C34806"/>
    <w:rsid w:val="00C34ACE"/>
    <w:rsid w:val="00C377A0"/>
    <w:rsid w:val="00C400E1"/>
    <w:rsid w:val="00C4015E"/>
    <w:rsid w:val="00C409DB"/>
    <w:rsid w:val="00C41187"/>
    <w:rsid w:val="00C41ADA"/>
    <w:rsid w:val="00C44623"/>
    <w:rsid w:val="00C44D88"/>
    <w:rsid w:val="00C47308"/>
    <w:rsid w:val="00C50314"/>
    <w:rsid w:val="00C506C5"/>
    <w:rsid w:val="00C512A1"/>
    <w:rsid w:val="00C51D7B"/>
    <w:rsid w:val="00C52127"/>
    <w:rsid w:val="00C5725B"/>
    <w:rsid w:val="00C60772"/>
    <w:rsid w:val="00C6078C"/>
    <w:rsid w:val="00C60E1D"/>
    <w:rsid w:val="00C63C31"/>
    <w:rsid w:val="00C655B4"/>
    <w:rsid w:val="00C706F8"/>
    <w:rsid w:val="00C73206"/>
    <w:rsid w:val="00C733A4"/>
    <w:rsid w:val="00C757A0"/>
    <w:rsid w:val="00C757BB"/>
    <w:rsid w:val="00C760DE"/>
    <w:rsid w:val="00C769C7"/>
    <w:rsid w:val="00C7704B"/>
    <w:rsid w:val="00C777B4"/>
    <w:rsid w:val="00C778F4"/>
    <w:rsid w:val="00C7790B"/>
    <w:rsid w:val="00C80AFB"/>
    <w:rsid w:val="00C80E03"/>
    <w:rsid w:val="00C82630"/>
    <w:rsid w:val="00C845F5"/>
    <w:rsid w:val="00C84C29"/>
    <w:rsid w:val="00C85B4E"/>
    <w:rsid w:val="00C85CAD"/>
    <w:rsid w:val="00C86CCA"/>
    <w:rsid w:val="00C8750C"/>
    <w:rsid w:val="00C907F7"/>
    <w:rsid w:val="00C912CA"/>
    <w:rsid w:val="00C92732"/>
    <w:rsid w:val="00C92C66"/>
    <w:rsid w:val="00C92CB1"/>
    <w:rsid w:val="00C94EE4"/>
    <w:rsid w:val="00C96C7F"/>
    <w:rsid w:val="00CA0195"/>
    <w:rsid w:val="00CA0771"/>
    <w:rsid w:val="00CA2103"/>
    <w:rsid w:val="00CA2737"/>
    <w:rsid w:val="00CA32BE"/>
    <w:rsid w:val="00CA3E7B"/>
    <w:rsid w:val="00CA48C5"/>
    <w:rsid w:val="00CB002F"/>
    <w:rsid w:val="00CB1229"/>
    <w:rsid w:val="00CB3D91"/>
    <w:rsid w:val="00CB3F4D"/>
    <w:rsid w:val="00CB425C"/>
    <w:rsid w:val="00CB54B0"/>
    <w:rsid w:val="00CB6834"/>
    <w:rsid w:val="00CB6B99"/>
    <w:rsid w:val="00CB79E0"/>
    <w:rsid w:val="00CC0A43"/>
    <w:rsid w:val="00CC0CCD"/>
    <w:rsid w:val="00CC2459"/>
    <w:rsid w:val="00CC3A7B"/>
    <w:rsid w:val="00CC3C84"/>
    <w:rsid w:val="00CC59C6"/>
    <w:rsid w:val="00CC6BAB"/>
    <w:rsid w:val="00CD0432"/>
    <w:rsid w:val="00CD211A"/>
    <w:rsid w:val="00CD388F"/>
    <w:rsid w:val="00CD6231"/>
    <w:rsid w:val="00CD6F77"/>
    <w:rsid w:val="00CE0E9A"/>
    <w:rsid w:val="00CE22BA"/>
    <w:rsid w:val="00CE3A9D"/>
    <w:rsid w:val="00CE4C87"/>
    <w:rsid w:val="00CE544A"/>
    <w:rsid w:val="00CE6D84"/>
    <w:rsid w:val="00CE7818"/>
    <w:rsid w:val="00CE7CD7"/>
    <w:rsid w:val="00CF02A4"/>
    <w:rsid w:val="00CF0909"/>
    <w:rsid w:val="00CF5821"/>
    <w:rsid w:val="00CF58EC"/>
    <w:rsid w:val="00CF795B"/>
    <w:rsid w:val="00D01880"/>
    <w:rsid w:val="00D03170"/>
    <w:rsid w:val="00D04C25"/>
    <w:rsid w:val="00D06841"/>
    <w:rsid w:val="00D0745E"/>
    <w:rsid w:val="00D11E1C"/>
    <w:rsid w:val="00D12262"/>
    <w:rsid w:val="00D122CB"/>
    <w:rsid w:val="00D15F75"/>
    <w:rsid w:val="00D160B0"/>
    <w:rsid w:val="00D16593"/>
    <w:rsid w:val="00D17F94"/>
    <w:rsid w:val="00D17FFA"/>
    <w:rsid w:val="00D20316"/>
    <w:rsid w:val="00D2163E"/>
    <w:rsid w:val="00D21C23"/>
    <w:rsid w:val="00D223FC"/>
    <w:rsid w:val="00D22960"/>
    <w:rsid w:val="00D241FF"/>
    <w:rsid w:val="00D24FF1"/>
    <w:rsid w:val="00D25A03"/>
    <w:rsid w:val="00D26D1E"/>
    <w:rsid w:val="00D270F5"/>
    <w:rsid w:val="00D27E42"/>
    <w:rsid w:val="00D32046"/>
    <w:rsid w:val="00D32FBB"/>
    <w:rsid w:val="00D354EF"/>
    <w:rsid w:val="00D36B34"/>
    <w:rsid w:val="00D4040D"/>
    <w:rsid w:val="00D41A9C"/>
    <w:rsid w:val="00D42DFE"/>
    <w:rsid w:val="00D434EC"/>
    <w:rsid w:val="00D43CE9"/>
    <w:rsid w:val="00D44685"/>
    <w:rsid w:val="00D45DF3"/>
    <w:rsid w:val="00D45E2B"/>
    <w:rsid w:val="00D474CF"/>
    <w:rsid w:val="00D5099D"/>
    <w:rsid w:val="00D51A4D"/>
    <w:rsid w:val="00D5547E"/>
    <w:rsid w:val="00D560C3"/>
    <w:rsid w:val="00D56E95"/>
    <w:rsid w:val="00D57303"/>
    <w:rsid w:val="00D6078B"/>
    <w:rsid w:val="00D612B7"/>
    <w:rsid w:val="00D628B9"/>
    <w:rsid w:val="00D6430E"/>
    <w:rsid w:val="00D64A02"/>
    <w:rsid w:val="00D6579E"/>
    <w:rsid w:val="00D6704C"/>
    <w:rsid w:val="00D707D8"/>
    <w:rsid w:val="00D71DDE"/>
    <w:rsid w:val="00D72CD0"/>
    <w:rsid w:val="00D7341A"/>
    <w:rsid w:val="00D75C50"/>
    <w:rsid w:val="00D7667D"/>
    <w:rsid w:val="00D76AA5"/>
    <w:rsid w:val="00D77B2E"/>
    <w:rsid w:val="00D800AF"/>
    <w:rsid w:val="00D817BF"/>
    <w:rsid w:val="00D819B3"/>
    <w:rsid w:val="00D84FE9"/>
    <w:rsid w:val="00D85314"/>
    <w:rsid w:val="00D858B5"/>
    <w:rsid w:val="00D869A1"/>
    <w:rsid w:val="00D87775"/>
    <w:rsid w:val="00D87BE0"/>
    <w:rsid w:val="00D9004B"/>
    <w:rsid w:val="00D905C7"/>
    <w:rsid w:val="00D9110B"/>
    <w:rsid w:val="00D91FAD"/>
    <w:rsid w:val="00D92900"/>
    <w:rsid w:val="00D929F0"/>
    <w:rsid w:val="00D92FA3"/>
    <w:rsid w:val="00D966C1"/>
    <w:rsid w:val="00D97EBB"/>
    <w:rsid w:val="00DA413F"/>
    <w:rsid w:val="00DA4584"/>
    <w:rsid w:val="00DA614B"/>
    <w:rsid w:val="00DA6824"/>
    <w:rsid w:val="00DA69D6"/>
    <w:rsid w:val="00DA7330"/>
    <w:rsid w:val="00DA76FF"/>
    <w:rsid w:val="00DB0200"/>
    <w:rsid w:val="00DB0D1F"/>
    <w:rsid w:val="00DB1567"/>
    <w:rsid w:val="00DB1770"/>
    <w:rsid w:val="00DB40A3"/>
    <w:rsid w:val="00DB423E"/>
    <w:rsid w:val="00DB42B0"/>
    <w:rsid w:val="00DB5E73"/>
    <w:rsid w:val="00DB6AE0"/>
    <w:rsid w:val="00DC1D93"/>
    <w:rsid w:val="00DC1F43"/>
    <w:rsid w:val="00DC3060"/>
    <w:rsid w:val="00DC482A"/>
    <w:rsid w:val="00DC6698"/>
    <w:rsid w:val="00DC7AA2"/>
    <w:rsid w:val="00DD021A"/>
    <w:rsid w:val="00DD11BA"/>
    <w:rsid w:val="00DD2B83"/>
    <w:rsid w:val="00DD3862"/>
    <w:rsid w:val="00DD38EE"/>
    <w:rsid w:val="00DD4470"/>
    <w:rsid w:val="00DD54A8"/>
    <w:rsid w:val="00DD5B6E"/>
    <w:rsid w:val="00DE03B3"/>
    <w:rsid w:val="00DE041F"/>
    <w:rsid w:val="00DE0FB2"/>
    <w:rsid w:val="00DE1EE6"/>
    <w:rsid w:val="00DE2129"/>
    <w:rsid w:val="00DE2971"/>
    <w:rsid w:val="00DE2F66"/>
    <w:rsid w:val="00DE5E77"/>
    <w:rsid w:val="00DE64FC"/>
    <w:rsid w:val="00DE74E1"/>
    <w:rsid w:val="00DE77AE"/>
    <w:rsid w:val="00DF093E"/>
    <w:rsid w:val="00DF1DA2"/>
    <w:rsid w:val="00DF2F9B"/>
    <w:rsid w:val="00DF32F0"/>
    <w:rsid w:val="00DF52FA"/>
    <w:rsid w:val="00DF5B87"/>
    <w:rsid w:val="00DF6BE5"/>
    <w:rsid w:val="00DF7086"/>
    <w:rsid w:val="00DF7EF6"/>
    <w:rsid w:val="00E001B2"/>
    <w:rsid w:val="00E00FE2"/>
    <w:rsid w:val="00E019AC"/>
    <w:rsid w:val="00E01F42"/>
    <w:rsid w:val="00E0292B"/>
    <w:rsid w:val="00E04E38"/>
    <w:rsid w:val="00E06D4C"/>
    <w:rsid w:val="00E06F6C"/>
    <w:rsid w:val="00E07095"/>
    <w:rsid w:val="00E114A3"/>
    <w:rsid w:val="00E1215B"/>
    <w:rsid w:val="00E12EF9"/>
    <w:rsid w:val="00E12F97"/>
    <w:rsid w:val="00E141C6"/>
    <w:rsid w:val="00E155EB"/>
    <w:rsid w:val="00E157FF"/>
    <w:rsid w:val="00E1720B"/>
    <w:rsid w:val="00E206D6"/>
    <w:rsid w:val="00E21003"/>
    <w:rsid w:val="00E26741"/>
    <w:rsid w:val="00E270C4"/>
    <w:rsid w:val="00E30D56"/>
    <w:rsid w:val="00E3160F"/>
    <w:rsid w:val="00E3307B"/>
    <w:rsid w:val="00E3366E"/>
    <w:rsid w:val="00E3407B"/>
    <w:rsid w:val="00E35E8D"/>
    <w:rsid w:val="00E41699"/>
    <w:rsid w:val="00E421C6"/>
    <w:rsid w:val="00E4465E"/>
    <w:rsid w:val="00E507FB"/>
    <w:rsid w:val="00E52086"/>
    <w:rsid w:val="00E543A6"/>
    <w:rsid w:val="00E54487"/>
    <w:rsid w:val="00E54D43"/>
    <w:rsid w:val="00E576E2"/>
    <w:rsid w:val="00E57A30"/>
    <w:rsid w:val="00E6010D"/>
    <w:rsid w:val="00E60479"/>
    <w:rsid w:val="00E605C7"/>
    <w:rsid w:val="00E61D73"/>
    <w:rsid w:val="00E621B5"/>
    <w:rsid w:val="00E65098"/>
    <w:rsid w:val="00E655B2"/>
    <w:rsid w:val="00E6587B"/>
    <w:rsid w:val="00E65C13"/>
    <w:rsid w:val="00E66076"/>
    <w:rsid w:val="00E66561"/>
    <w:rsid w:val="00E67CEB"/>
    <w:rsid w:val="00E710DD"/>
    <w:rsid w:val="00E71B33"/>
    <w:rsid w:val="00E71D56"/>
    <w:rsid w:val="00E72133"/>
    <w:rsid w:val="00E73684"/>
    <w:rsid w:val="00E744CF"/>
    <w:rsid w:val="00E74AED"/>
    <w:rsid w:val="00E76278"/>
    <w:rsid w:val="00E77C96"/>
    <w:rsid w:val="00E818D6"/>
    <w:rsid w:val="00E82DA8"/>
    <w:rsid w:val="00E854A0"/>
    <w:rsid w:val="00E87F7A"/>
    <w:rsid w:val="00E92094"/>
    <w:rsid w:val="00E93B26"/>
    <w:rsid w:val="00E958CD"/>
    <w:rsid w:val="00E963CA"/>
    <w:rsid w:val="00E96BD7"/>
    <w:rsid w:val="00E96CBA"/>
    <w:rsid w:val="00EA069A"/>
    <w:rsid w:val="00EA0DB1"/>
    <w:rsid w:val="00EA0EE9"/>
    <w:rsid w:val="00EA2AB8"/>
    <w:rsid w:val="00EA4150"/>
    <w:rsid w:val="00EA41DD"/>
    <w:rsid w:val="00EA5469"/>
    <w:rsid w:val="00EA6084"/>
    <w:rsid w:val="00EA78BE"/>
    <w:rsid w:val="00EA7FF7"/>
    <w:rsid w:val="00EB0341"/>
    <w:rsid w:val="00EB1712"/>
    <w:rsid w:val="00EB1C1E"/>
    <w:rsid w:val="00EB3785"/>
    <w:rsid w:val="00EB50A5"/>
    <w:rsid w:val="00EB5494"/>
    <w:rsid w:val="00EB5BD4"/>
    <w:rsid w:val="00EC1411"/>
    <w:rsid w:val="00EC2343"/>
    <w:rsid w:val="00EC2C28"/>
    <w:rsid w:val="00EC334D"/>
    <w:rsid w:val="00EC44A0"/>
    <w:rsid w:val="00EC7FEC"/>
    <w:rsid w:val="00ED0A50"/>
    <w:rsid w:val="00ED0C64"/>
    <w:rsid w:val="00ED108A"/>
    <w:rsid w:val="00ED1562"/>
    <w:rsid w:val="00ED26D3"/>
    <w:rsid w:val="00ED3180"/>
    <w:rsid w:val="00ED45A3"/>
    <w:rsid w:val="00ED52CA"/>
    <w:rsid w:val="00ED5860"/>
    <w:rsid w:val="00ED6EBD"/>
    <w:rsid w:val="00EE0437"/>
    <w:rsid w:val="00EE0B3D"/>
    <w:rsid w:val="00EE1B74"/>
    <w:rsid w:val="00EE2852"/>
    <w:rsid w:val="00EE30EB"/>
    <w:rsid w:val="00EE35C9"/>
    <w:rsid w:val="00EE3D65"/>
    <w:rsid w:val="00EE6BC8"/>
    <w:rsid w:val="00EF0E0C"/>
    <w:rsid w:val="00EF1CB7"/>
    <w:rsid w:val="00EF5029"/>
    <w:rsid w:val="00EF5687"/>
    <w:rsid w:val="00F016AF"/>
    <w:rsid w:val="00F05ECA"/>
    <w:rsid w:val="00F064F3"/>
    <w:rsid w:val="00F14A3B"/>
    <w:rsid w:val="00F1514F"/>
    <w:rsid w:val="00F16234"/>
    <w:rsid w:val="00F1710F"/>
    <w:rsid w:val="00F1786A"/>
    <w:rsid w:val="00F17F30"/>
    <w:rsid w:val="00F2075E"/>
    <w:rsid w:val="00F24043"/>
    <w:rsid w:val="00F241B0"/>
    <w:rsid w:val="00F2462A"/>
    <w:rsid w:val="00F24E9E"/>
    <w:rsid w:val="00F30D07"/>
    <w:rsid w:val="00F31660"/>
    <w:rsid w:val="00F31673"/>
    <w:rsid w:val="00F33A7B"/>
    <w:rsid w:val="00F3566E"/>
    <w:rsid w:val="00F35B6F"/>
    <w:rsid w:val="00F35CD2"/>
    <w:rsid w:val="00F375FB"/>
    <w:rsid w:val="00F40AFD"/>
    <w:rsid w:val="00F41AC1"/>
    <w:rsid w:val="00F428FA"/>
    <w:rsid w:val="00F431BC"/>
    <w:rsid w:val="00F4367A"/>
    <w:rsid w:val="00F44049"/>
    <w:rsid w:val="00F445B1"/>
    <w:rsid w:val="00F44A49"/>
    <w:rsid w:val="00F44B49"/>
    <w:rsid w:val="00F4581C"/>
    <w:rsid w:val="00F45CD4"/>
    <w:rsid w:val="00F463D1"/>
    <w:rsid w:val="00F47F07"/>
    <w:rsid w:val="00F50D59"/>
    <w:rsid w:val="00F518BD"/>
    <w:rsid w:val="00F51C9A"/>
    <w:rsid w:val="00F52AB6"/>
    <w:rsid w:val="00F52DDC"/>
    <w:rsid w:val="00F52E15"/>
    <w:rsid w:val="00F54A95"/>
    <w:rsid w:val="00F54A9A"/>
    <w:rsid w:val="00F554D2"/>
    <w:rsid w:val="00F5632A"/>
    <w:rsid w:val="00F563D6"/>
    <w:rsid w:val="00F57A81"/>
    <w:rsid w:val="00F61106"/>
    <w:rsid w:val="00F6387E"/>
    <w:rsid w:val="00F643E8"/>
    <w:rsid w:val="00F66812"/>
    <w:rsid w:val="00F66DCA"/>
    <w:rsid w:val="00F71B0E"/>
    <w:rsid w:val="00F74F53"/>
    <w:rsid w:val="00F75549"/>
    <w:rsid w:val="00F756F7"/>
    <w:rsid w:val="00F7606D"/>
    <w:rsid w:val="00F76CE1"/>
    <w:rsid w:val="00F80635"/>
    <w:rsid w:val="00F80DF7"/>
    <w:rsid w:val="00F81670"/>
    <w:rsid w:val="00F82024"/>
    <w:rsid w:val="00F82D52"/>
    <w:rsid w:val="00F83A47"/>
    <w:rsid w:val="00F848F6"/>
    <w:rsid w:val="00F86962"/>
    <w:rsid w:val="00F87080"/>
    <w:rsid w:val="00F8741C"/>
    <w:rsid w:val="00F90A12"/>
    <w:rsid w:val="00F92238"/>
    <w:rsid w:val="00F94E95"/>
    <w:rsid w:val="00F95BC9"/>
    <w:rsid w:val="00F96A87"/>
    <w:rsid w:val="00F96E23"/>
    <w:rsid w:val="00F97C01"/>
    <w:rsid w:val="00FA10A6"/>
    <w:rsid w:val="00FA13AC"/>
    <w:rsid w:val="00FA19F8"/>
    <w:rsid w:val="00FA2F7D"/>
    <w:rsid w:val="00FA4A8D"/>
    <w:rsid w:val="00FA624C"/>
    <w:rsid w:val="00FA7FF3"/>
    <w:rsid w:val="00FB2971"/>
    <w:rsid w:val="00FB48DE"/>
    <w:rsid w:val="00FB70AC"/>
    <w:rsid w:val="00FC0819"/>
    <w:rsid w:val="00FC262C"/>
    <w:rsid w:val="00FC3739"/>
    <w:rsid w:val="00FC468E"/>
    <w:rsid w:val="00FC4861"/>
    <w:rsid w:val="00FC4CB1"/>
    <w:rsid w:val="00FC7B02"/>
    <w:rsid w:val="00FD0330"/>
    <w:rsid w:val="00FD0FAC"/>
    <w:rsid w:val="00FD1A21"/>
    <w:rsid w:val="00FD1DFA"/>
    <w:rsid w:val="00FD262F"/>
    <w:rsid w:val="00FD28D5"/>
    <w:rsid w:val="00FD3590"/>
    <w:rsid w:val="00FD4134"/>
    <w:rsid w:val="00FD4966"/>
    <w:rsid w:val="00FD4A43"/>
    <w:rsid w:val="00FD4C89"/>
    <w:rsid w:val="00FE07FD"/>
    <w:rsid w:val="00FE1E6D"/>
    <w:rsid w:val="00FE2DBD"/>
    <w:rsid w:val="00FE35F3"/>
    <w:rsid w:val="00FE36F7"/>
    <w:rsid w:val="00FE3A39"/>
    <w:rsid w:val="00FE53F3"/>
    <w:rsid w:val="00FE57DC"/>
    <w:rsid w:val="00FE5DC8"/>
    <w:rsid w:val="00FF0D49"/>
    <w:rsid w:val="0114B3FE"/>
    <w:rsid w:val="013654E6"/>
    <w:rsid w:val="013737D4"/>
    <w:rsid w:val="014A48AF"/>
    <w:rsid w:val="015ACB42"/>
    <w:rsid w:val="017A3AC5"/>
    <w:rsid w:val="017A3F7C"/>
    <w:rsid w:val="017FC586"/>
    <w:rsid w:val="01A79989"/>
    <w:rsid w:val="01EE2C13"/>
    <w:rsid w:val="021FC04B"/>
    <w:rsid w:val="022A91AC"/>
    <w:rsid w:val="024ED7EE"/>
    <w:rsid w:val="026FF515"/>
    <w:rsid w:val="029AF385"/>
    <w:rsid w:val="02C9E19F"/>
    <w:rsid w:val="02D4E1F5"/>
    <w:rsid w:val="02D51C5B"/>
    <w:rsid w:val="02D8B492"/>
    <w:rsid w:val="02DC965C"/>
    <w:rsid w:val="02E66A28"/>
    <w:rsid w:val="0314D973"/>
    <w:rsid w:val="036E0B0F"/>
    <w:rsid w:val="03AB3955"/>
    <w:rsid w:val="03D51984"/>
    <w:rsid w:val="03E0A5CF"/>
    <w:rsid w:val="03E5C967"/>
    <w:rsid w:val="03F75C9D"/>
    <w:rsid w:val="04203F75"/>
    <w:rsid w:val="0428CCB3"/>
    <w:rsid w:val="04508144"/>
    <w:rsid w:val="04BB5D8F"/>
    <w:rsid w:val="04CD3410"/>
    <w:rsid w:val="0513A567"/>
    <w:rsid w:val="052C6EAA"/>
    <w:rsid w:val="053D4C44"/>
    <w:rsid w:val="0583323F"/>
    <w:rsid w:val="05AA2329"/>
    <w:rsid w:val="05BA0C8B"/>
    <w:rsid w:val="05D087F2"/>
    <w:rsid w:val="05D26CE3"/>
    <w:rsid w:val="05F0BA0A"/>
    <w:rsid w:val="05F1B008"/>
    <w:rsid w:val="0614B8F9"/>
    <w:rsid w:val="0628D992"/>
    <w:rsid w:val="06489C14"/>
    <w:rsid w:val="0665CECC"/>
    <w:rsid w:val="066C0004"/>
    <w:rsid w:val="0682B1FF"/>
    <w:rsid w:val="06903FFB"/>
    <w:rsid w:val="0691897C"/>
    <w:rsid w:val="06B09452"/>
    <w:rsid w:val="06F984BF"/>
    <w:rsid w:val="0703EB3E"/>
    <w:rsid w:val="073EC4C1"/>
    <w:rsid w:val="0743051B"/>
    <w:rsid w:val="0757D33D"/>
    <w:rsid w:val="076E3D9D"/>
    <w:rsid w:val="07811EDD"/>
    <w:rsid w:val="07A893FA"/>
    <w:rsid w:val="07A8D7E0"/>
    <w:rsid w:val="07AAD6E3"/>
    <w:rsid w:val="07D34665"/>
    <w:rsid w:val="07F4E77E"/>
    <w:rsid w:val="089D24F2"/>
    <w:rsid w:val="08DAFE26"/>
    <w:rsid w:val="091E699B"/>
    <w:rsid w:val="0931AC63"/>
    <w:rsid w:val="094D16CC"/>
    <w:rsid w:val="09573FC1"/>
    <w:rsid w:val="0977520F"/>
    <w:rsid w:val="0978FCD7"/>
    <w:rsid w:val="09B8415F"/>
    <w:rsid w:val="09D4EDF4"/>
    <w:rsid w:val="09DD8107"/>
    <w:rsid w:val="09FDF027"/>
    <w:rsid w:val="0A4599A9"/>
    <w:rsid w:val="0A52E263"/>
    <w:rsid w:val="0A6CD8AA"/>
    <w:rsid w:val="0A74AB4F"/>
    <w:rsid w:val="0A766B93"/>
    <w:rsid w:val="0A852668"/>
    <w:rsid w:val="0A9669DA"/>
    <w:rsid w:val="0AC0093F"/>
    <w:rsid w:val="0AD4E3CF"/>
    <w:rsid w:val="0AEA21B1"/>
    <w:rsid w:val="0AF31022"/>
    <w:rsid w:val="0B1A0410"/>
    <w:rsid w:val="0B207DA2"/>
    <w:rsid w:val="0B794FB7"/>
    <w:rsid w:val="0BA0F17A"/>
    <w:rsid w:val="0BAE341F"/>
    <w:rsid w:val="0BBCAD49"/>
    <w:rsid w:val="0BF7C5CB"/>
    <w:rsid w:val="0BFBFFDC"/>
    <w:rsid w:val="0C0423C2"/>
    <w:rsid w:val="0C2B7D43"/>
    <w:rsid w:val="0C2FA934"/>
    <w:rsid w:val="0C721681"/>
    <w:rsid w:val="0CAA42A4"/>
    <w:rsid w:val="0CCFBAEA"/>
    <w:rsid w:val="0CD26EB9"/>
    <w:rsid w:val="0CE910CF"/>
    <w:rsid w:val="0D421672"/>
    <w:rsid w:val="0D4C2DB7"/>
    <w:rsid w:val="0D805BB9"/>
    <w:rsid w:val="0D93BCE9"/>
    <w:rsid w:val="0DDC411F"/>
    <w:rsid w:val="0DE99D91"/>
    <w:rsid w:val="0E3D7B8A"/>
    <w:rsid w:val="0EB72202"/>
    <w:rsid w:val="0ECB6E02"/>
    <w:rsid w:val="0EE42BFA"/>
    <w:rsid w:val="0F216C85"/>
    <w:rsid w:val="0F28E932"/>
    <w:rsid w:val="0F4445B8"/>
    <w:rsid w:val="0F60D816"/>
    <w:rsid w:val="0F69E4DE"/>
    <w:rsid w:val="0F99F81A"/>
    <w:rsid w:val="0FD2E9A1"/>
    <w:rsid w:val="1016CA67"/>
    <w:rsid w:val="103ECF42"/>
    <w:rsid w:val="1053FE97"/>
    <w:rsid w:val="105F655E"/>
    <w:rsid w:val="10613BA7"/>
    <w:rsid w:val="1064868B"/>
    <w:rsid w:val="10BCB748"/>
    <w:rsid w:val="10BE67D6"/>
    <w:rsid w:val="10CC0FE1"/>
    <w:rsid w:val="10E4A126"/>
    <w:rsid w:val="10E5FD36"/>
    <w:rsid w:val="11040C17"/>
    <w:rsid w:val="1122337A"/>
    <w:rsid w:val="1153055E"/>
    <w:rsid w:val="11587138"/>
    <w:rsid w:val="117DB3C7"/>
    <w:rsid w:val="118E5108"/>
    <w:rsid w:val="11DA9AC0"/>
    <w:rsid w:val="12166428"/>
    <w:rsid w:val="12183667"/>
    <w:rsid w:val="124DE2F6"/>
    <w:rsid w:val="125B87B1"/>
    <w:rsid w:val="12601A51"/>
    <w:rsid w:val="128634A9"/>
    <w:rsid w:val="1299BB1E"/>
    <w:rsid w:val="129B0958"/>
    <w:rsid w:val="12A8CA6B"/>
    <w:rsid w:val="12AB6D24"/>
    <w:rsid w:val="12B82069"/>
    <w:rsid w:val="12C54F99"/>
    <w:rsid w:val="12FE2207"/>
    <w:rsid w:val="135B2DC9"/>
    <w:rsid w:val="135D7EF8"/>
    <w:rsid w:val="136D8464"/>
    <w:rsid w:val="1395D26C"/>
    <w:rsid w:val="139C3D3E"/>
    <w:rsid w:val="13AF363B"/>
    <w:rsid w:val="13BAFF69"/>
    <w:rsid w:val="13C19291"/>
    <w:rsid w:val="14009B08"/>
    <w:rsid w:val="1404F04E"/>
    <w:rsid w:val="1409AC91"/>
    <w:rsid w:val="1415C754"/>
    <w:rsid w:val="145DB24D"/>
    <w:rsid w:val="146B43E7"/>
    <w:rsid w:val="148A5580"/>
    <w:rsid w:val="14BF4969"/>
    <w:rsid w:val="14CF7F80"/>
    <w:rsid w:val="14EE8BD3"/>
    <w:rsid w:val="1500E2D2"/>
    <w:rsid w:val="1506884C"/>
    <w:rsid w:val="1535CF3B"/>
    <w:rsid w:val="15513EF5"/>
    <w:rsid w:val="156187F2"/>
    <w:rsid w:val="15878242"/>
    <w:rsid w:val="15C44FC4"/>
    <w:rsid w:val="15CC4AC2"/>
    <w:rsid w:val="15DFBD2F"/>
    <w:rsid w:val="15E8150A"/>
    <w:rsid w:val="15F2F887"/>
    <w:rsid w:val="15F982AE"/>
    <w:rsid w:val="15FBA3A7"/>
    <w:rsid w:val="16041D8A"/>
    <w:rsid w:val="16258359"/>
    <w:rsid w:val="162B7F1B"/>
    <w:rsid w:val="16562AA6"/>
    <w:rsid w:val="165F06BD"/>
    <w:rsid w:val="16A69E4E"/>
    <w:rsid w:val="16A97DA2"/>
    <w:rsid w:val="16EFB08F"/>
    <w:rsid w:val="17112DDF"/>
    <w:rsid w:val="171C3D97"/>
    <w:rsid w:val="1737B29C"/>
    <w:rsid w:val="1766D75F"/>
    <w:rsid w:val="178088FF"/>
    <w:rsid w:val="1789D202"/>
    <w:rsid w:val="17A09F97"/>
    <w:rsid w:val="17DE2320"/>
    <w:rsid w:val="181A0A7D"/>
    <w:rsid w:val="185BD0B8"/>
    <w:rsid w:val="185C4D4A"/>
    <w:rsid w:val="185E0B7F"/>
    <w:rsid w:val="18BB3C7C"/>
    <w:rsid w:val="18C0B0AF"/>
    <w:rsid w:val="1901CCB8"/>
    <w:rsid w:val="193D4767"/>
    <w:rsid w:val="19747D92"/>
    <w:rsid w:val="197BAE22"/>
    <w:rsid w:val="198D17AB"/>
    <w:rsid w:val="19A1DF05"/>
    <w:rsid w:val="19B599CB"/>
    <w:rsid w:val="19CE9707"/>
    <w:rsid w:val="19FA35C0"/>
    <w:rsid w:val="1A178442"/>
    <w:rsid w:val="1A4809ED"/>
    <w:rsid w:val="1A739F3E"/>
    <w:rsid w:val="1A81DCD8"/>
    <w:rsid w:val="1A868117"/>
    <w:rsid w:val="1A8B71F8"/>
    <w:rsid w:val="1A8FB32A"/>
    <w:rsid w:val="1ABADBDD"/>
    <w:rsid w:val="1ABBEB7A"/>
    <w:rsid w:val="1ADD96F0"/>
    <w:rsid w:val="1AE5FFB1"/>
    <w:rsid w:val="1AFCE308"/>
    <w:rsid w:val="1B1071EB"/>
    <w:rsid w:val="1B280CE1"/>
    <w:rsid w:val="1B406A01"/>
    <w:rsid w:val="1B5B8660"/>
    <w:rsid w:val="1B5BA129"/>
    <w:rsid w:val="1B90603D"/>
    <w:rsid w:val="1BB13DB4"/>
    <w:rsid w:val="1BBB42EC"/>
    <w:rsid w:val="1BC70753"/>
    <w:rsid w:val="1BE653D2"/>
    <w:rsid w:val="1C0E1A9B"/>
    <w:rsid w:val="1C33FC8A"/>
    <w:rsid w:val="1C3CC278"/>
    <w:rsid w:val="1C3DB94D"/>
    <w:rsid w:val="1CB51FE4"/>
    <w:rsid w:val="1CD9F76F"/>
    <w:rsid w:val="1D410842"/>
    <w:rsid w:val="1D49F0F2"/>
    <w:rsid w:val="1D4EE7D3"/>
    <w:rsid w:val="1D53D092"/>
    <w:rsid w:val="1DB7C2F4"/>
    <w:rsid w:val="1E0F107F"/>
    <w:rsid w:val="1E2AF266"/>
    <w:rsid w:val="1EE867A8"/>
    <w:rsid w:val="1EF22EA6"/>
    <w:rsid w:val="1EF352DF"/>
    <w:rsid w:val="1F1ABA53"/>
    <w:rsid w:val="1F2386DA"/>
    <w:rsid w:val="1F3B8192"/>
    <w:rsid w:val="1F4D86B2"/>
    <w:rsid w:val="1F79E42B"/>
    <w:rsid w:val="1F7A4007"/>
    <w:rsid w:val="1FAFFC02"/>
    <w:rsid w:val="1FBA645D"/>
    <w:rsid w:val="1FC13552"/>
    <w:rsid w:val="1FD2211F"/>
    <w:rsid w:val="1FFFF4B6"/>
    <w:rsid w:val="200C408B"/>
    <w:rsid w:val="204AE35E"/>
    <w:rsid w:val="206AB406"/>
    <w:rsid w:val="20811261"/>
    <w:rsid w:val="2083476A"/>
    <w:rsid w:val="20FF0017"/>
    <w:rsid w:val="211A2FE1"/>
    <w:rsid w:val="2157D22A"/>
    <w:rsid w:val="21671FE5"/>
    <w:rsid w:val="21833B33"/>
    <w:rsid w:val="218E893C"/>
    <w:rsid w:val="2195B217"/>
    <w:rsid w:val="21C69E05"/>
    <w:rsid w:val="21DAD19D"/>
    <w:rsid w:val="21E2DEC8"/>
    <w:rsid w:val="21EC3946"/>
    <w:rsid w:val="22173B8E"/>
    <w:rsid w:val="2265F0D2"/>
    <w:rsid w:val="228580CF"/>
    <w:rsid w:val="22C3DCDB"/>
    <w:rsid w:val="22D8A086"/>
    <w:rsid w:val="22E58699"/>
    <w:rsid w:val="22FC3FBC"/>
    <w:rsid w:val="231F6E52"/>
    <w:rsid w:val="23567AEC"/>
    <w:rsid w:val="236672B3"/>
    <w:rsid w:val="23861304"/>
    <w:rsid w:val="23C3A3B3"/>
    <w:rsid w:val="23D1C484"/>
    <w:rsid w:val="23E949D8"/>
    <w:rsid w:val="24309F55"/>
    <w:rsid w:val="2438A846"/>
    <w:rsid w:val="245CBB30"/>
    <w:rsid w:val="24D365D9"/>
    <w:rsid w:val="2503592C"/>
    <w:rsid w:val="25193068"/>
    <w:rsid w:val="25226077"/>
    <w:rsid w:val="252785E0"/>
    <w:rsid w:val="2540D15B"/>
    <w:rsid w:val="2558D10A"/>
    <w:rsid w:val="2575EFBB"/>
    <w:rsid w:val="25770F59"/>
    <w:rsid w:val="25B18049"/>
    <w:rsid w:val="25E0BEA3"/>
    <w:rsid w:val="26426FD8"/>
    <w:rsid w:val="26747A0D"/>
    <w:rsid w:val="2719D7CB"/>
    <w:rsid w:val="2726BFF4"/>
    <w:rsid w:val="275A0ECA"/>
    <w:rsid w:val="275FF530"/>
    <w:rsid w:val="277FAB1F"/>
    <w:rsid w:val="27A9DDAA"/>
    <w:rsid w:val="27B72305"/>
    <w:rsid w:val="27F18630"/>
    <w:rsid w:val="2811087F"/>
    <w:rsid w:val="2834108F"/>
    <w:rsid w:val="2842A9FC"/>
    <w:rsid w:val="28640BFB"/>
    <w:rsid w:val="286F72E3"/>
    <w:rsid w:val="286F8450"/>
    <w:rsid w:val="28A10F48"/>
    <w:rsid w:val="28BEC186"/>
    <w:rsid w:val="28CB8EEF"/>
    <w:rsid w:val="28F01CF0"/>
    <w:rsid w:val="29047176"/>
    <w:rsid w:val="29486D8B"/>
    <w:rsid w:val="294DE410"/>
    <w:rsid w:val="297F5CB1"/>
    <w:rsid w:val="299DD540"/>
    <w:rsid w:val="29D594B5"/>
    <w:rsid w:val="29DA48B5"/>
    <w:rsid w:val="2A315FF1"/>
    <w:rsid w:val="2A55F630"/>
    <w:rsid w:val="2A6A5467"/>
    <w:rsid w:val="2A78408E"/>
    <w:rsid w:val="2A93AA7F"/>
    <w:rsid w:val="2ABC006F"/>
    <w:rsid w:val="2AFBB446"/>
    <w:rsid w:val="2AFBF5F4"/>
    <w:rsid w:val="2B1949A4"/>
    <w:rsid w:val="2B320925"/>
    <w:rsid w:val="2B578A5F"/>
    <w:rsid w:val="2BD71621"/>
    <w:rsid w:val="2BDF3CDC"/>
    <w:rsid w:val="2BFEBDE0"/>
    <w:rsid w:val="2C0B0E2C"/>
    <w:rsid w:val="2C1A049A"/>
    <w:rsid w:val="2C2B886D"/>
    <w:rsid w:val="2C740F2B"/>
    <w:rsid w:val="2C7BEABE"/>
    <w:rsid w:val="2CA325C9"/>
    <w:rsid w:val="2CAD283B"/>
    <w:rsid w:val="2CC4E500"/>
    <w:rsid w:val="2CFB0F00"/>
    <w:rsid w:val="2D0D2657"/>
    <w:rsid w:val="2D3905F8"/>
    <w:rsid w:val="2D458528"/>
    <w:rsid w:val="2D4DF93E"/>
    <w:rsid w:val="2D646392"/>
    <w:rsid w:val="2D87D73D"/>
    <w:rsid w:val="2DB06458"/>
    <w:rsid w:val="2DE0D5AE"/>
    <w:rsid w:val="2DE27DC4"/>
    <w:rsid w:val="2DF428AE"/>
    <w:rsid w:val="2E0AA73F"/>
    <w:rsid w:val="2E360C37"/>
    <w:rsid w:val="2E75B4A8"/>
    <w:rsid w:val="2E8E1D6A"/>
    <w:rsid w:val="2EF48747"/>
    <w:rsid w:val="2F2B0960"/>
    <w:rsid w:val="2F403EFD"/>
    <w:rsid w:val="2F5992E2"/>
    <w:rsid w:val="2F644443"/>
    <w:rsid w:val="2F7B5AED"/>
    <w:rsid w:val="2F8A73AF"/>
    <w:rsid w:val="2F8ECAAE"/>
    <w:rsid w:val="2F91D652"/>
    <w:rsid w:val="2FC2A5DF"/>
    <w:rsid w:val="2FF5CA8D"/>
    <w:rsid w:val="30004E38"/>
    <w:rsid w:val="3011C3CD"/>
    <w:rsid w:val="301C2580"/>
    <w:rsid w:val="3045CB17"/>
    <w:rsid w:val="3077A1E3"/>
    <w:rsid w:val="307965DB"/>
    <w:rsid w:val="308F8B53"/>
    <w:rsid w:val="3090528B"/>
    <w:rsid w:val="30A60156"/>
    <w:rsid w:val="30C07943"/>
    <w:rsid w:val="30E5601A"/>
    <w:rsid w:val="30FDF308"/>
    <w:rsid w:val="31BFBB04"/>
    <w:rsid w:val="31CA2211"/>
    <w:rsid w:val="31CED7A2"/>
    <w:rsid w:val="31E5DC7E"/>
    <w:rsid w:val="31FDC531"/>
    <w:rsid w:val="320533E7"/>
    <w:rsid w:val="32297115"/>
    <w:rsid w:val="32394655"/>
    <w:rsid w:val="32B74AB0"/>
    <w:rsid w:val="32D81513"/>
    <w:rsid w:val="32DF0FE4"/>
    <w:rsid w:val="32EAF6F6"/>
    <w:rsid w:val="3348ACE1"/>
    <w:rsid w:val="33892EC1"/>
    <w:rsid w:val="339570C8"/>
    <w:rsid w:val="339A0D79"/>
    <w:rsid w:val="33C54176"/>
    <w:rsid w:val="33CD7665"/>
    <w:rsid w:val="33FF98CF"/>
    <w:rsid w:val="34006266"/>
    <w:rsid w:val="341A3E9D"/>
    <w:rsid w:val="3461B18C"/>
    <w:rsid w:val="3488B13E"/>
    <w:rsid w:val="349E2A10"/>
    <w:rsid w:val="34F1452F"/>
    <w:rsid w:val="3544E12B"/>
    <w:rsid w:val="356FCD01"/>
    <w:rsid w:val="35C20C83"/>
    <w:rsid w:val="35E11822"/>
    <w:rsid w:val="36193450"/>
    <w:rsid w:val="3659DA55"/>
    <w:rsid w:val="36679BFE"/>
    <w:rsid w:val="369362F6"/>
    <w:rsid w:val="36A1592A"/>
    <w:rsid w:val="36A9D1C1"/>
    <w:rsid w:val="36AA6A20"/>
    <w:rsid w:val="36C53707"/>
    <w:rsid w:val="3707D427"/>
    <w:rsid w:val="370A1FA7"/>
    <w:rsid w:val="3731FAF9"/>
    <w:rsid w:val="379E68A4"/>
    <w:rsid w:val="37B41E72"/>
    <w:rsid w:val="37C9D80A"/>
    <w:rsid w:val="37EE0AC4"/>
    <w:rsid w:val="383067E6"/>
    <w:rsid w:val="3830813A"/>
    <w:rsid w:val="383E8C47"/>
    <w:rsid w:val="387C4FB6"/>
    <w:rsid w:val="3890A5C2"/>
    <w:rsid w:val="389A022B"/>
    <w:rsid w:val="38DAE609"/>
    <w:rsid w:val="38EE3B28"/>
    <w:rsid w:val="39007528"/>
    <w:rsid w:val="391E8B86"/>
    <w:rsid w:val="392DAC0D"/>
    <w:rsid w:val="39912DD7"/>
    <w:rsid w:val="399B27B2"/>
    <w:rsid w:val="399C3DBB"/>
    <w:rsid w:val="39A8456B"/>
    <w:rsid w:val="39AF6AEC"/>
    <w:rsid w:val="39B7BDDF"/>
    <w:rsid w:val="39BA75D7"/>
    <w:rsid w:val="39C895CB"/>
    <w:rsid w:val="39D047D8"/>
    <w:rsid w:val="39F1AA39"/>
    <w:rsid w:val="39F81D1B"/>
    <w:rsid w:val="3A549E41"/>
    <w:rsid w:val="3A70D2D8"/>
    <w:rsid w:val="3A7C333B"/>
    <w:rsid w:val="3AB78FB7"/>
    <w:rsid w:val="3AE05E37"/>
    <w:rsid w:val="3B26AF71"/>
    <w:rsid w:val="3B290C74"/>
    <w:rsid w:val="3B3300D8"/>
    <w:rsid w:val="3B3DEF95"/>
    <w:rsid w:val="3B429196"/>
    <w:rsid w:val="3B4553C6"/>
    <w:rsid w:val="3B45E095"/>
    <w:rsid w:val="3B6E106A"/>
    <w:rsid w:val="3B824D2F"/>
    <w:rsid w:val="3BAF2A1A"/>
    <w:rsid w:val="3BC99A9A"/>
    <w:rsid w:val="3BCE242F"/>
    <w:rsid w:val="3BD6BAB6"/>
    <w:rsid w:val="3BE72F65"/>
    <w:rsid w:val="3C18039C"/>
    <w:rsid w:val="3C306738"/>
    <w:rsid w:val="3C3365BD"/>
    <w:rsid w:val="3C4FD23F"/>
    <w:rsid w:val="3C59DAB2"/>
    <w:rsid w:val="3C6BF76C"/>
    <w:rsid w:val="3C860C45"/>
    <w:rsid w:val="3C937AC5"/>
    <w:rsid w:val="3C9BF52A"/>
    <w:rsid w:val="3CA383F7"/>
    <w:rsid w:val="3CA6FA30"/>
    <w:rsid w:val="3CB1879E"/>
    <w:rsid w:val="3CC4164E"/>
    <w:rsid w:val="3D010086"/>
    <w:rsid w:val="3D2AD5FB"/>
    <w:rsid w:val="3D4E32EA"/>
    <w:rsid w:val="3D868D7F"/>
    <w:rsid w:val="3DB70EF8"/>
    <w:rsid w:val="3DC2E4CB"/>
    <w:rsid w:val="3DC89E71"/>
    <w:rsid w:val="3DCBC708"/>
    <w:rsid w:val="3DF339A6"/>
    <w:rsid w:val="3DFB6C05"/>
    <w:rsid w:val="3E106C03"/>
    <w:rsid w:val="3E18BB87"/>
    <w:rsid w:val="3E38EDD6"/>
    <w:rsid w:val="3E3BF0DB"/>
    <w:rsid w:val="3E45DC25"/>
    <w:rsid w:val="3E524C70"/>
    <w:rsid w:val="3E5FE6AF"/>
    <w:rsid w:val="3E8DABF5"/>
    <w:rsid w:val="3EA6935B"/>
    <w:rsid w:val="3EB46900"/>
    <w:rsid w:val="3EF3E137"/>
    <w:rsid w:val="3F3CF5F0"/>
    <w:rsid w:val="3F60F1E9"/>
    <w:rsid w:val="3FAAA00A"/>
    <w:rsid w:val="3FC234B2"/>
    <w:rsid w:val="3FCE43C7"/>
    <w:rsid w:val="3FD507BA"/>
    <w:rsid w:val="3FEB77E2"/>
    <w:rsid w:val="3FF9267A"/>
    <w:rsid w:val="4036A041"/>
    <w:rsid w:val="4045DA61"/>
    <w:rsid w:val="4053E78F"/>
    <w:rsid w:val="4055CBEE"/>
    <w:rsid w:val="40641DBB"/>
    <w:rsid w:val="406D6CA0"/>
    <w:rsid w:val="409711C7"/>
    <w:rsid w:val="40B0E61B"/>
    <w:rsid w:val="40BC4E0B"/>
    <w:rsid w:val="40BCB234"/>
    <w:rsid w:val="40E18B38"/>
    <w:rsid w:val="41111BF1"/>
    <w:rsid w:val="4112059B"/>
    <w:rsid w:val="4117166D"/>
    <w:rsid w:val="4118361E"/>
    <w:rsid w:val="414E8FD3"/>
    <w:rsid w:val="41510817"/>
    <w:rsid w:val="41959506"/>
    <w:rsid w:val="41E65D8E"/>
    <w:rsid w:val="421DB164"/>
    <w:rsid w:val="4240162C"/>
    <w:rsid w:val="424A3959"/>
    <w:rsid w:val="42501B24"/>
    <w:rsid w:val="427157BE"/>
    <w:rsid w:val="42874520"/>
    <w:rsid w:val="42C07116"/>
    <w:rsid w:val="42C6A48E"/>
    <w:rsid w:val="42E085BD"/>
    <w:rsid w:val="42F5AEEA"/>
    <w:rsid w:val="43074C68"/>
    <w:rsid w:val="430DC1A8"/>
    <w:rsid w:val="432A400E"/>
    <w:rsid w:val="43446468"/>
    <w:rsid w:val="43494A70"/>
    <w:rsid w:val="4353B068"/>
    <w:rsid w:val="436EAEE7"/>
    <w:rsid w:val="4374C15A"/>
    <w:rsid w:val="437A047E"/>
    <w:rsid w:val="437E44A7"/>
    <w:rsid w:val="4391D735"/>
    <w:rsid w:val="43B088DD"/>
    <w:rsid w:val="43B0E2A6"/>
    <w:rsid w:val="43B3B428"/>
    <w:rsid w:val="43D32D88"/>
    <w:rsid w:val="43D4FF0C"/>
    <w:rsid w:val="43EA940C"/>
    <w:rsid w:val="44021021"/>
    <w:rsid w:val="440E1208"/>
    <w:rsid w:val="44231581"/>
    <w:rsid w:val="445D7DD6"/>
    <w:rsid w:val="446247F7"/>
    <w:rsid w:val="446598DC"/>
    <w:rsid w:val="44ABB9E8"/>
    <w:rsid w:val="44C3683A"/>
    <w:rsid w:val="44D9667E"/>
    <w:rsid w:val="44E07860"/>
    <w:rsid w:val="44EBE215"/>
    <w:rsid w:val="45B48DA9"/>
    <w:rsid w:val="45DEA28E"/>
    <w:rsid w:val="45F0EC06"/>
    <w:rsid w:val="460E963F"/>
    <w:rsid w:val="4623E9DD"/>
    <w:rsid w:val="46B1A540"/>
    <w:rsid w:val="46B30C3D"/>
    <w:rsid w:val="46D33E25"/>
    <w:rsid w:val="4703523C"/>
    <w:rsid w:val="4713874F"/>
    <w:rsid w:val="473D8DEE"/>
    <w:rsid w:val="474EE051"/>
    <w:rsid w:val="4780D7EB"/>
    <w:rsid w:val="47CE711C"/>
    <w:rsid w:val="47D7A1C7"/>
    <w:rsid w:val="47E49617"/>
    <w:rsid w:val="483061D0"/>
    <w:rsid w:val="48521BB4"/>
    <w:rsid w:val="48B97ADD"/>
    <w:rsid w:val="48D4B2B8"/>
    <w:rsid w:val="48D97605"/>
    <w:rsid w:val="48DEFD27"/>
    <w:rsid w:val="491C3DC8"/>
    <w:rsid w:val="4928D91D"/>
    <w:rsid w:val="494E62B0"/>
    <w:rsid w:val="49729F4F"/>
    <w:rsid w:val="498C27ED"/>
    <w:rsid w:val="49A15832"/>
    <w:rsid w:val="49BB2451"/>
    <w:rsid w:val="49F13388"/>
    <w:rsid w:val="4A0D2A43"/>
    <w:rsid w:val="4A1E79EF"/>
    <w:rsid w:val="4A21595E"/>
    <w:rsid w:val="4A46213F"/>
    <w:rsid w:val="4A4D0761"/>
    <w:rsid w:val="4A554B3E"/>
    <w:rsid w:val="4A739DD0"/>
    <w:rsid w:val="4A983719"/>
    <w:rsid w:val="4AC3CC49"/>
    <w:rsid w:val="4ACEC51F"/>
    <w:rsid w:val="4ADD58EB"/>
    <w:rsid w:val="4AE42A0C"/>
    <w:rsid w:val="4B1D5F7F"/>
    <w:rsid w:val="4B3F909D"/>
    <w:rsid w:val="4B5A1D1B"/>
    <w:rsid w:val="4B8D03E9"/>
    <w:rsid w:val="4B969A36"/>
    <w:rsid w:val="4BC4A3D3"/>
    <w:rsid w:val="4BCE9906"/>
    <w:rsid w:val="4BE0D228"/>
    <w:rsid w:val="4BE952DF"/>
    <w:rsid w:val="4BFF5406"/>
    <w:rsid w:val="4C37FFDE"/>
    <w:rsid w:val="4C38F1F8"/>
    <w:rsid w:val="4C3916F6"/>
    <w:rsid w:val="4C41982C"/>
    <w:rsid w:val="4C4E2221"/>
    <w:rsid w:val="4C54B428"/>
    <w:rsid w:val="4C9A4FF7"/>
    <w:rsid w:val="4CAD8CB4"/>
    <w:rsid w:val="4CB20B34"/>
    <w:rsid w:val="4CBD5BBA"/>
    <w:rsid w:val="4CCFC621"/>
    <w:rsid w:val="4CE3F555"/>
    <w:rsid w:val="4D37147C"/>
    <w:rsid w:val="4D99A2FA"/>
    <w:rsid w:val="4DD1B7FA"/>
    <w:rsid w:val="4DDA135E"/>
    <w:rsid w:val="4DE17D1E"/>
    <w:rsid w:val="4DF06896"/>
    <w:rsid w:val="4DFEE6F5"/>
    <w:rsid w:val="4E5CE21C"/>
    <w:rsid w:val="4E75910A"/>
    <w:rsid w:val="4EA5C33C"/>
    <w:rsid w:val="4EA7132C"/>
    <w:rsid w:val="4EB3FF2D"/>
    <w:rsid w:val="4ED2B854"/>
    <w:rsid w:val="4F077E2E"/>
    <w:rsid w:val="4F3130B3"/>
    <w:rsid w:val="4FABFCBC"/>
    <w:rsid w:val="4FEC9B81"/>
    <w:rsid w:val="4FF975B1"/>
    <w:rsid w:val="501C6FFE"/>
    <w:rsid w:val="5081BF57"/>
    <w:rsid w:val="508764F4"/>
    <w:rsid w:val="50891C80"/>
    <w:rsid w:val="50C1FA9C"/>
    <w:rsid w:val="50F4A042"/>
    <w:rsid w:val="5111B420"/>
    <w:rsid w:val="513B29F8"/>
    <w:rsid w:val="5147CD1D"/>
    <w:rsid w:val="5199D819"/>
    <w:rsid w:val="51C97330"/>
    <w:rsid w:val="51F8654B"/>
    <w:rsid w:val="5211898A"/>
    <w:rsid w:val="52402C08"/>
    <w:rsid w:val="5242A6C5"/>
    <w:rsid w:val="52650AEA"/>
    <w:rsid w:val="5283246B"/>
    <w:rsid w:val="52A8FDDF"/>
    <w:rsid w:val="52D0B8F5"/>
    <w:rsid w:val="52DF8AD1"/>
    <w:rsid w:val="533D19B2"/>
    <w:rsid w:val="535C324C"/>
    <w:rsid w:val="538D77AE"/>
    <w:rsid w:val="53918CE2"/>
    <w:rsid w:val="53BC0759"/>
    <w:rsid w:val="5427877F"/>
    <w:rsid w:val="542AA6E6"/>
    <w:rsid w:val="54526F8C"/>
    <w:rsid w:val="5456246B"/>
    <w:rsid w:val="54704993"/>
    <w:rsid w:val="54A8952D"/>
    <w:rsid w:val="54E77AD5"/>
    <w:rsid w:val="54ED3D76"/>
    <w:rsid w:val="551F48E4"/>
    <w:rsid w:val="552AAAFB"/>
    <w:rsid w:val="5533E62F"/>
    <w:rsid w:val="5541AB32"/>
    <w:rsid w:val="558139E1"/>
    <w:rsid w:val="55874D26"/>
    <w:rsid w:val="55908CF7"/>
    <w:rsid w:val="559D3E6D"/>
    <w:rsid w:val="55B519F5"/>
    <w:rsid w:val="55B5BA33"/>
    <w:rsid w:val="5613BEA7"/>
    <w:rsid w:val="565C1837"/>
    <w:rsid w:val="566CC237"/>
    <w:rsid w:val="568182F4"/>
    <w:rsid w:val="56AFA442"/>
    <w:rsid w:val="56BF0C2C"/>
    <w:rsid w:val="56FCD15A"/>
    <w:rsid w:val="56FF16B8"/>
    <w:rsid w:val="570BF13B"/>
    <w:rsid w:val="571C6ED2"/>
    <w:rsid w:val="572B286A"/>
    <w:rsid w:val="573EE6B3"/>
    <w:rsid w:val="57765BED"/>
    <w:rsid w:val="57818A08"/>
    <w:rsid w:val="5789DC17"/>
    <w:rsid w:val="578A16B5"/>
    <w:rsid w:val="57A80E21"/>
    <w:rsid w:val="57C4910D"/>
    <w:rsid w:val="57C7C3E9"/>
    <w:rsid w:val="58019536"/>
    <w:rsid w:val="581C2569"/>
    <w:rsid w:val="586878CA"/>
    <w:rsid w:val="586CEE93"/>
    <w:rsid w:val="587C58CC"/>
    <w:rsid w:val="587CD642"/>
    <w:rsid w:val="58896C47"/>
    <w:rsid w:val="589B1F36"/>
    <w:rsid w:val="58A34281"/>
    <w:rsid w:val="58B89D46"/>
    <w:rsid w:val="58C1E7DE"/>
    <w:rsid w:val="58E51292"/>
    <w:rsid w:val="58FEAA92"/>
    <w:rsid w:val="593996C2"/>
    <w:rsid w:val="593CD87B"/>
    <w:rsid w:val="593F4F2F"/>
    <w:rsid w:val="59409B95"/>
    <w:rsid w:val="5940F5AF"/>
    <w:rsid w:val="5949B3B7"/>
    <w:rsid w:val="596B7C71"/>
    <w:rsid w:val="5979AA06"/>
    <w:rsid w:val="5980FEE0"/>
    <w:rsid w:val="59A8DA3E"/>
    <w:rsid w:val="59AA01A9"/>
    <w:rsid w:val="59CDF7E9"/>
    <w:rsid w:val="59D8C1D9"/>
    <w:rsid w:val="5A0D8A95"/>
    <w:rsid w:val="5A4CE91B"/>
    <w:rsid w:val="5A5D9AE1"/>
    <w:rsid w:val="5AE7A60D"/>
    <w:rsid w:val="5B022BA8"/>
    <w:rsid w:val="5B1BAA90"/>
    <w:rsid w:val="5B27E243"/>
    <w:rsid w:val="5B4BB10E"/>
    <w:rsid w:val="5B50BB0E"/>
    <w:rsid w:val="5B9252B4"/>
    <w:rsid w:val="5BA6CB5E"/>
    <w:rsid w:val="5C1E9585"/>
    <w:rsid w:val="5C275BC1"/>
    <w:rsid w:val="5C37D171"/>
    <w:rsid w:val="5C68708C"/>
    <w:rsid w:val="5CB91D84"/>
    <w:rsid w:val="5CF4B156"/>
    <w:rsid w:val="5CF5E6E2"/>
    <w:rsid w:val="5D19EEF4"/>
    <w:rsid w:val="5D3EF814"/>
    <w:rsid w:val="5D467B4E"/>
    <w:rsid w:val="5D59A91A"/>
    <w:rsid w:val="5D5D9276"/>
    <w:rsid w:val="5D98B65E"/>
    <w:rsid w:val="5DA259D1"/>
    <w:rsid w:val="5DA6E033"/>
    <w:rsid w:val="5DA9C63C"/>
    <w:rsid w:val="5DAC75A4"/>
    <w:rsid w:val="5DB32F70"/>
    <w:rsid w:val="5DC25BB8"/>
    <w:rsid w:val="5DE97D42"/>
    <w:rsid w:val="5E104887"/>
    <w:rsid w:val="5E2FF995"/>
    <w:rsid w:val="5E43483B"/>
    <w:rsid w:val="5E465F47"/>
    <w:rsid w:val="5E5C7098"/>
    <w:rsid w:val="5E6E85F5"/>
    <w:rsid w:val="5E738733"/>
    <w:rsid w:val="5E885BD0"/>
    <w:rsid w:val="5E8ECFB7"/>
    <w:rsid w:val="5E92C296"/>
    <w:rsid w:val="5EAD5A9A"/>
    <w:rsid w:val="5EB700C5"/>
    <w:rsid w:val="5ED0ED99"/>
    <w:rsid w:val="5F047E06"/>
    <w:rsid w:val="5F0A8F41"/>
    <w:rsid w:val="5F124C45"/>
    <w:rsid w:val="5F425156"/>
    <w:rsid w:val="5F6031C5"/>
    <w:rsid w:val="5FDBC9B7"/>
    <w:rsid w:val="6008B037"/>
    <w:rsid w:val="603396BE"/>
    <w:rsid w:val="604ADF8A"/>
    <w:rsid w:val="60600B5C"/>
    <w:rsid w:val="607A67F3"/>
    <w:rsid w:val="607A9222"/>
    <w:rsid w:val="6082AF90"/>
    <w:rsid w:val="608C17BD"/>
    <w:rsid w:val="60979534"/>
    <w:rsid w:val="60A0F709"/>
    <w:rsid w:val="60A8DDB3"/>
    <w:rsid w:val="61063836"/>
    <w:rsid w:val="610A0199"/>
    <w:rsid w:val="610A01D1"/>
    <w:rsid w:val="6110013D"/>
    <w:rsid w:val="6123FAB8"/>
    <w:rsid w:val="615AC9B9"/>
    <w:rsid w:val="6189F4FC"/>
    <w:rsid w:val="618E9E5A"/>
    <w:rsid w:val="61AF6704"/>
    <w:rsid w:val="61D7BE49"/>
    <w:rsid w:val="61E19E88"/>
    <w:rsid w:val="61E545B1"/>
    <w:rsid w:val="621B9ADD"/>
    <w:rsid w:val="6238357C"/>
    <w:rsid w:val="62578AE9"/>
    <w:rsid w:val="6278378F"/>
    <w:rsid w:val="628101F1"/>
    <w:rsid w:val="62816727"/>
    <w:rsid w:val="62D0C0BF"/>
    <w:rsid w:val="62F69A1A"/>
    <w:rsid w:val="6301AECE"/>
    <w:rsid w:val="6306A884"/>
    <w:rsid w:val="63072003"/>
    <w:rsid w:val="631B95F9"/>
    <w:rsid w:val="632974CA"/>
    <w:rsid w:val="632A6EBB"/>
    <w:rsid w:val="6338D4C1"/>
    <w:rsid w:val="633C0D5C"/>
    <w:rsid w:val="635204EC"/>
    <w:rsid w:val="63775BD3"/>
    <w:rsid w:val="63E36363"/>
    <w:rsid w:val="63E3CA77"/>
    <w:rsid w:val="63EBD968"/>
    <w:rsid w:val="63FD1BCB"/>
    <w:rsid w:val="6419C5D4"/>
    <w:rsid w:val="6421043D"/>
    <w:rsid w:val="6432DD42"/>
    <w:rsid w:val="64386F77"/>
    <w:rsid w:val="643ACC1C"/>
    <w:rsid w:val="64681CF3"/>
    <w:rsid w:val="6482ED75"/>
    <w:rsid w:val="64DC1F3A"/>
    <w:rsid w:val="64E16F11"/>
    <w:rsid w:val="6502E3DE"/>
    <w:rsid w:val="65063A1D"/>
    <w:rsid w:val="652CFE61"/>
    <w:rsid w:val="653A1342"/>
    <w:rsid w:val="660C1D2A"/>
    <w:rsid w:val="66272478"/>
    <w:rsid w:val="66392B3E"/>
    <w:rsid w:val="6643F332"/>
    <w:rsid w:val="664E5A20"/>
    <w:rsid w:val="665A2B16"/>
    <w:rsid w:val="665E519B"/>
    <w:rsid w:val="6670E0A2"/>
    <w:rsid w:val="6676751B"/>
    <w:rsid w:val="668E085F"/>
    <w:rsid w:val="6690F3A3"/>
    <w:rsid w:val="669B92CC"/>
    <w:rsid w:val="66CE3016"/>
    <w:rsid w:val="66F78A17"/>
    <w:rsid w:val="6700B212"/>
    <w:rsid w:val="67083306"/>
    <w:rsid w:val="67258C38"/>
    <w:rsid w:val="672EB6F9"/>
    <w:rsid w:val="67441D92"/>
    <w:rsid w:val="674DEEDF"/>
    <w:rsid w:val="6762A23B"/>
    <w:rsid w:val="67A5AC52"/>
    <w:rsid w:val="67C074F0"/>
    <w:rsid w:val="67C8D10D"/>
    <w:rsid w:val="67CCE6F6"/>
    <w:rsid w:val="67EA2A81"/>
    <w:rsid w:val="681DF70E"/>
    <w:rsid w:val="6829A8F2"/>
    <w:rsid w:val="689DAFF5"/>
    <w:rsid w:val="68D08CEE"/>
    <w:rsid w:val="690450EC"/>
    <w:rsid w:val="6932CF35"/>
    <w:rsid w:val="694BF943"/>
    <w:rsid w:val="694FEBC9"/>
    <w:rsid w:val="69507B93"/>
    <w:rsid w:val="697D8446"/>
    <w:rsid w:val="69B330D4"/>
    <w:rsid w:val="69C81B14"/>
    <w:rsid w:val="69CDEED0"/>
    <w:rsid w:val="6A127BD7"/>
    <w:rsid w:val="6AA6BA3C"/>
    <w:rsid w:val="6AAAAEAF"/>
    <w:rsid w:val="6AD6EB06"/>
    <w:rsid w:val="6ADD7088"/>
    <w:rsid w:val="6B0EB695"/>
    <w:rsid w:val="6BAB3E44"/>
    <w:rsid w:val="6BB3BF3B"/>
    <w:rsid w:val="6BBFC452"/>
    <w:rsid w:val="6BC1ED7B"/>
    <w:rsid w:val="6C012E0A"/>
    <w:rsid w:val="6C25B3DD"/>
    <w:rsid w:val="6C5875BE"/>
    <w:rsid w:val="6C9D489F"/>
    <w:rsid w:val="6CB58F5D"/>
    <w:rsid w:val="6CBD9BA4"/>
    <w:rsid w:val="6CD86F99"/>
    <w:rsid w:val="6CF9B2F2"/>
    <w:rsid w:val="6CF9DC62"/>
    <w:rsid w:val="6D00B6FB"/>
    <w:rsid w:val="6D138667"/>
    <w:rsid w:val="6D3B176B"/>
    <w:rsid w:val="6D576F4B"/>
    <w:rsid w:val="6D61B6D0"/>
    <w:rsid w:val="6D882E3A"/>
    <w:rsid w:val="6DA33559"/>
    <w:rsid w:val="6DA52E56"/>
    <w:rsid w:val="6DAC8ADD"/>
    <w:rsid w:val="6DB15E97"/>
    <w:rsid w:val="6DC8F7F8"/>
    <w:rsid w:val="6DEC9E15"/>
    <w:rsid w:val="6DF96F0E"/>
    <w:rsid w:val="6DFB1ABE"/>
    <w:rsid w:val="6E3B8E88"/>
    <w:rsid w:val="6E5629CE"/>
    <w:rsid w:val="6E596C05"/>
    <w:rsid w:val="6E661A70"/>
    <w:rsid w:val="6E919883"/>
    <w:rsid w:val="6EC2DA15"/>
    <w:rsid w:val="6EDA8306"/>
    <w:rsid w:val="6EE98717"/>
    <w:rsid w:val="6EEBB0F3"/>
    <w:rsid w:val="6EF8C69D"/>
    <w:rsid w:val="6F0B91AE"/>
    <w:rsid w:val="6F2CD755"/>
    <w:rsid w:val="6F5934AF"/>
    <w:rsid w:val="6F7DE79A"/>
    <w:rsid w:val="6F949BBE"/>
    <w:rsid w:val="6FBC71A3"/>
    <w:rsid w:val="6FC4C362"/>
    <w:rsid w:val="6FCB86D5"/>
    <w:rsid w:val="6FCD26C6"/>
    <w:rsid w:val="6FE269D4"/>
    <w:rsid w:val="700628CC"/>
    <w:rsid w:val="7010E688"/>
    <w:rsid w:val="7016762E"/>
    <w:rsid w:val="70233315"/>
    <w:rsid w:val="70B738FB"/>
    <w:rsid w:val="70D9A3FD"/>
    <w:rsid w:val="70F4189F"/>
    <w:rsid w:val="70F965EF"/>
    <w:rsid w:val="70FA4F1D"/>
    <w:rsid w:val="711D757A"/>
    <w:rsid w:val="713AC30F"/>
    <w:rsid w:val="713BD139"/>
    <w:rsid w:val="71449743"/>
    <w:rsid w:val="71671509"/>
    <w:rsid w:val="716FB854"/>
    <w:rsid w:val="717C4FF1"/>
    <w:rsid w:val="718D9592"/>
    <w:rsid w:val="71910CC7"/>
    <w:rsid w:val="71924C55"/>
    <w:rsid w:val="719FC8B0"/>
    <w:rsid w:val="71A7387A"/>
    <w:rsid w:val="71B8AAC2"/>
    <w:rsid w:val="71C93945"/>
    <w:rsid w:val="71D214C1"/>
    <w:rsid w:val="71DE10A6"/>
    <w:rsid w:val="71F60E8E"/>
    <w:rsid w:val="7200E8C1"/>
    <w:rsid w:val="724D840A"/>
    <w:rsid w:val="724DAC33"/>
    <w:rsid w:val="7277E45E"/>
    <w:rsid w:val="7299EEBF"/>
    <w:rsid w:val="72D86B4F"/>
    <w:rsid w:val="7304E67E"/>
    <w:rsid w:val="7306A389"/>
    <w:rsid w:val="732A42DA"/>
    <w:rsid w:val="737F0D4B"/>
    <w:rsid w:val="7390AABA"/>
    <w:rsid w:val="73DB7BBD"/>
    <w:rsid w:val="73F433DE"/>
    <w:rsid w:val="7424A9FC"/>
    <w:rsid w:val="746D2C75"/>
    <w:rsid w:val="74B07BCB"/>
    <w:rsid w:val="74C27B4B"/>
    <w:rsid w:val="74C2F571"/>
    <w:rsid w:val="74C5DD04"/>
    <w:rsid w:val="7511FB85"/>
    <w:rsid w:val="753376AE"/>
    <w:rsid w:val="755781B8"/>
    <w:rsid w:val="756704E0"/>
    <w:rsid w:val="75941415"/>
    <w:rsid w:val="7607E8B4"/>
    <w:rsid w:val="76254F77"/>
    <w:rsid w:val="763E1C00"/>
    <w:rsid w:val="764F64D5"/>
    <w:rsid w:val="76509B97"/>
    <w:rsid w:val="76CA66C8"/>
    <w:rsid w:val="76CD7D58"/>
    <w:rsid w:val="76E7B27B"/>
    <w:rsid w:val="7713A74C"/>
    <w:rsid w:val="7716D152"/>
    <w:rsid w:val="773F5566"/>
    <w:rsid w:val="7757B0C2"/>
    <w:rsid w:val="776C4829"/>
    <w:rsid w:val="77787C0C"/>
    <w:rsid w:val="77997E26"/>
    <w:rsid w:val="77A20A22"/>
    <w:rsid w:val="77AEB935"/>
    <w:rsid w:val="77D359A7"/>
    <w:rsid w:val="78107834"/>
    <w:rsid w:val="781DF277"/>
    <w:rsid w:val="78202902"/>
    <w:rsid w:val="782D29F7"/>
    <w:rsid w:val="782DFFEB"/>
    <w:rsid w:val="7835A7EC"/>
    <w:rsid w:val="7839F835"/>
    <w:rsid w:val="783C24CC"/>
    <w:rsid w:val="7884B5A1"/>
    <w:rsid w:val="78979932"/>
    <w:rsid w:val="789CF03C"/>
    <w:rsid w:val="78A575E4"/>
    <w:rsid w:val="78B9E683"/>
    <w:rsid w:val="78D07EAF"/>
    <w:rsid w:val="78D93EED"/>
    <w:rsid w:val="78EEE932"/>
    <w:rsid w:val="7948F3F9"/>
    <w:rsid w:val="795216C7"/>
    <w:rsid w:val="7969F6DA"/>
    <w:rsid w:val="796AB24C"/>
    <w:rsid w:val="79886A4A"/>
    <w:rsid w:val="798B4288"/>
    <w:rsid w:val="799C1EAC"/>
    <w:rsid w:val="79C47BD2"/>
    <w:rsid w:val="79ED18A3"/>
    <w:rsid w:val="7A3375EA"/>
    <w:rsid w:val="7AB5C9C3"/>
    <w:rsid w:val="7AB60ED0"/>
    <w:rsid w:val="7ACB831A"/>
    <w:rsid w:val="7AD93D00"/>
    <w:rsid w:val="7AF573F7"/>
    <w:rsid w:val="7AFCA1F4"/>
    <w:rsid w:val="7B0694F2"/>
    <w:rsid w:val="7B0881C1"/>
    <w:rsid w:val="7B27FCF5"/>
    <w:rsid w:val="7B44B6F8"/>
    <w:rsid w:val="7B4D26C9"/>
    <w:rsid w:val="7B65A0AD"/>
    <w:rsid w:val="7B75173C"/>
    <w:rsid w:val="7B8203E4"/>
    <w:rsid w:val="7B831EB9"/>
    <w:rsid w:val="7B9E3E49"/>
    <w:rsid w:val="7BCC0C14"/>
    <w:rsid w:val="7BE0CF9A"/>
    <w:rsid w:val="7C3074F7"/>
    <w:rsid w:val="7C424993"/>
    <w:rsid w:val="7C4A1C86"/>
    <w:rsid w:val="7C6E0C53"/>
    <w:rsid w:val="7C7092D8"/>
    <w:rsid w:val="7C91E515"/>
    <w:rsid w:val="7C94050C"/>
    <w:rsid w:val="7C9C8D87"/>
    <w:rsid w:val="7CA4768E"/>
    <w:rsid w:val="7CA8868B"/>
    <w:rsid w:val="7CB0E5C3"/>
    <w:rsid w:val="7CC7BCDD"/>
    <w:rsid w:val="7CE2B1CA"/>
    <w:rsid w:val="7CE49301"/>
    <w:rsid w:val="7CFF56A0"/>
    <w:rsid w:val="7D02F815"/>
    <w:rsid w:val="7D124B72"/>
    <w:rsid w:val="7D3A5E3A"/>
    <w:rsid w:val="7D488C41"/>
    <w:rsid w:val="7D4D5EAC"/>
    <w:rsid w:val="7D4D685D"/>
    <w:rsid w:val="7D6B8994"/>
    <w:rsid w:val="7DB27E51"/>
    <w:rsid w:val="7DBF8FF1"/>
    <w:rsid w:val="7DC8233F"/>
    <w:rsid w:val="7DD8B547"/>
    <w:rsid w:val="7DDA31CB"/>
    <w:rsid w:val="7E2DDB9E"/>
    <w:rsid w:val="7E365F9A"/>
    <w:rsid w:val="7E43F1DF"/>
    <w:rsid w:val="7E5AF28A"/>
    <w:rsid w:val="7E72E08F"/>
    <w:rsid w:val="7E7AEC8B"/>
    <w:rsid w:val="7E7C19BF"/>
    <w:rsid w:val="7E7C3C3F"/>
    <w:rsid w:val="7E8C3F00"/>
    <w:rsid w:val="7E9AB712"/>
    <w:rsid w:val="7EAC7F05"/>
    <w:rsid w:val="7EE2FC7F"/>
    <w:rsid w:val="7F413BE6"/>
    <w:rsid w:val="7F51E0BC"/>
    <w:rsid w:val="7F529E3C"/>
    <w:rsid w:val="7F70B8E8"/>
    <w:rsid w:val="7F70EF30"/>
    <w:rsid w:val="7F76ECE6"/>
    <w:rsid w:val="7F7CF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B868"/>
  <w15:docId w15:val="{276E1C5B-AF0E-4D42-BB4A-79C03F4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uiPriority w:val="5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2"/>
      </w:numPr>
      <w:tabs>
        <w:tab w:val="left" w:pos="993"/>
      </w:tabs>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4"/>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customStyle="1" w:styleId="Default">
    <w:name w:val="Default"/>
    <w:rsid w:val="001C391C"/>
    <w:pPr>
      <w:autoSpaceDE w:val="0"/>
      <w:autoSpaceDN w:val="0"/>
      <w:adjustRightInd w:val="0"/>
    </w:pPr>
    <w:rPr>
      <w:rFonts w:cs="Arial"/>
      <w:color w:val="000000"/>
      <w:sz w:val="24"/>
      <w:szCs w:val="24"/>
    </w:rPr>
  </w:style>
  <w:style w:type="character" w:customStyle="1" w:styleId="normaltextrun">
    <w:name w:val="normaltextrun"/>
    <w:basedOn w:val="DefaultParagraphFont"/>
    <w:rsid w:val="001E0FBA"/>
  </w:style>
  <w:style w:type="paragraph" w:customStyle="1" w:styleId="paragraph">
    <w:name w:val="paragraph"/>
    <w:basedOn w:val="Normal"/>
    <w:rsid w:val="00432099"/>
    <w:pPr>
      <w:spacing w:before="100" w:beforeAutospacing="1" w:after="100" w:afterAutospacing="1"/>
    </w:pPr>
    <w:rPr>
      <w:rFonts w:ascii="Times New Roman" w:hAnsi="Times New Roman"/>
      <w:color w:val="auto"/>
    </w:rPr>
  </w:style>
  <w:style w:type="character" w:customStyle="1" w:styleId="eop">
    <w:name w:val="eop"/>
    <w:basedOn w:val="DefaultParagraphFont"/>
    <w:rsid w:val="00432099"/>
  </w:style>
  <w:style w:type="character" w:customStyle="1" w:styleId="BalloonTextChar">
    <w:name w:val="Balloon Text Char"/>
    <w:basedOn w:val="DefaultParagraphFont"/>
    <w:link w:val="BalloonText"/>
    <w:uiPriority w:val="99"/>
    <w:semiHidden/>
    <w:rsid w:val="00A173D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82210730">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63673577">
      <w:bodyDiv w:val="1"/>
      <w:marLeft w:val="0"/>
      <w:marRight w:val="0"/>
      <w:marTop w:val="0"/>
      <w:marBottom w:val="0"/>
      <w:divBdr>
        <w:top w:val="none" w:sz="0" w:space="0" w:color="auto"/>
        <w:left w:val="none" w:sz="0" w:space="0" w:color="auto"/>
        <w:bottom w:val="none" w:sz="0" w:space="0" w:color="auto"/>
        <w:right w:val="none" w:sz="0" w:space="0" w:color="auto"/>
      </w:divBdr>
    </w:div>
    <w:div w:id="365257108">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13013665">
      <w:bodyDiv w:val="1"/>
      <w:marLeft w:val="0"/>
      <w:marRight w:val="0"/>
      <w:marTop w:val="0"/>
      <w:marBottom w:val="0"/>
      <w:divBdr>
        <w:top w:val="none" w:sz="0" w:space="0" w:color="auto"/>
        <w:left w:val="none" w:sz="0" w:space="0" w:color="auto"/>
        <w:bottom w:val="none" w:sz="0" w:space="0" w:color="auto"/>
        <w:right w:val="none" w:sz="0" w:space="0" w:color="auto"/>
      </w:divBdr>
    </w:div>
    <w:div w:id="442385168">
      <w:bodyDiv w:val="1"/>
      <w:marLeft w:val="0"/>
      <w:marRight w:val="0"/>
      <w:marTop w:val="0"/>
      <w:marBottom w:val="0"/>
      <w:divBdr>
        <w:top w:val="none" w:sz="0" w:space="0" w:color="auto"/>
        <w:left w:val="none" w:sz="0" w:space="0" w:color="auto"/>
        <w:bottom w:val="none" w:sz="0" w:space="0" w:color="auto"/>
        <w:right w:val="none" w:sz="0" w:space="0" w:color="auto"/>
      </w:divBdr>
    </w:div>
    <w:div w:id="450443758">
      <w:bodyDiv w:val="1"/>
      <w:marLeft w:val="0"/>
      <w:marRight w:val="0"/>
      <w:marTop w:val="0"/>
      <w:marBottom w:val="0"/>
      <w:divBdr>
        <w:top w:val="none" w:sz="0" w:space="0" w:color="auto"/>
        <w:left w:val="none" w:sz="0" w:space="0" w:color="auto"/>
        <w:bottom w:val="none" w:sz="0" w:space="0" w:color="auto"/>
        <w:right w:val="none" w:sz="0" w:space="0" w:color="auto"/>
      </w:divBdr>
    </w:div>
    <w:div w:id="561798489">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638820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90394485">
      <w:bodyDiv w:val="1"/>
      <w:marLeft w:val="0"/>
      <w:marRight w:val="0"/>
      <w:marTop w:val="0"/>
      <w:marBottom w:val="0"/>
      <w:divBdr>
        <w:top w:val="none" w:sz="0" w:space="0" w:color="auto"/>
        <w:left w:val="none" w:sz="0" w:space="0" w:color="auto"/>
        <w:bottom w:val="none" w:sz="0" w:space="0" w:color="auto"/>
        <w:right w:val="none" w:sz="0" w:space="0" w:color="auto"/>
      </w:divBdr>
    </w:div>
    <w:div w:id="799569508">
      <w:bodyDiv w:val="1"/>
      <w:marLeft w:val="0"/>
      <w:marRight w:val="0"/>
      <w:marTop w:val="0"/>
      <w:marBottom w:val="0"/>
      <w:divBdr>
        <w:top w:val="none" w:sz="0" w:space="0" w:color="auto"/>
        <w:left w:val="none" w:sz="0" w:space="0" w:color="auto"/>
        <w:bottom w:val="none" w:sz="0" w:space="0" w:color="auto"/>
        <w:right w:val="none" w:sz="0" w:space="0" w:color="auto"/>
      </w:divBdr>
    </w:div>
    <w:div w:id="853111704">
      <w:bodyDiv w:val="1"/>
      <w:marLeft w:val="0"/>
      <w:marRight w:val="0"/>
      <w:marTop w:val="0"/>
      <w:marBottom w:val="0"/>
      <w:divBdr>
        <w:top w:val="none" w:sz="0" w:space="0" w:color="auto"/>
        <w:left w:val="none" w:sz="0" w:space="0" w:color="auto"/>
        <w:bottom w:val="none" w:sz="0" w:space="0" w:color="auto"/>
        <w:right w:val="none" w:sz="0" w:space="0" w:color="auto"/>
      </w:divBdr>
    </w:div>
    <w:div w:id="866799690">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24846979">
      <w:bodyDiv w:val="1"/>
      <w:marLeft w:val="0"/>
      <w:marRight w:val="0"/>
      <w:marTop w:val="0"/>
      <w:marBottom w:val="0"/>
      <w:divBdr>
        <w:top w:val="none" w:sz="0" w:space="0" w:color="auto"/>
        <w:left w:val="none" w:sz="0" w:space="0" w:color="auto"/>
        <w:bottom w:val="none" w:sz="0" w:space="0" w:color="auto"/>
        <w:right w:val="none" w:sz="0" w:space="0" w:color="auto"/>
      </w:divBdr>
    </w:div>
    <w:div w:id="994456819">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28051888">
      <w:bodyDiv w:val="1"/>
      <w:marLeft w:val="0"/>
      <w:marRight w:val="0"/>
      <w:marTop w:val="0"/>
      <w:marBottom w:val="0"/>
      <w:divBdr>
        <w:top w:val="none" w:sz="0" w:space="0" w:color="auto"/>
        <w:left w:val="none" w:sz="0" w:space="0" w:color="auto"/>
        <w:bottom w:val="none" w:sz="0" w:space="0" w:color="auto"/>
        <w:right w:val="none" w:sz="0" w:space="0" w:color="auto"/>
      </w:divBdr>
      <w:divsChild>
        <w:div w:id="573784361">
          <w:marLeft w:val="0"/>
          <w:marRight w:val="0"/>
          <w:marTop w:val="0"/>
          <w:marBottom w:val="0"/>
          <w:divBdr>
            <w:top w:val="none" w:sz="0" w:space="0" w:color="auto"/>
            <w:left w:val="none" w:sz="0" w:space="0" w:color="auto"/>
            <w:bottom w:val="none" w:sz="0" w:space="0" w:color="auto"/>
            <w:right w:val="none" w:sz="0" w:space="0" w:color="auto"/>
          </w:divBdr>
        </w:div>
        <w:div w:id="985282539">
          <w:marLeft w:val="0"/>
          <w:marRight w:val="0"/>
          <w:marTop w:val="0"/>
          <w:marBottom w:val="0"/>
          <w:divBdr>
            <w:top w:val="none" w:sz="0" w:space="0" w:color="auto"/>
            <w:left w:val="none" w:sz="0" w:space="0" w:color="auto"/>
            <w:bottom w:val="none" w:sz="0" w:space="0" w:color="auto"/>
            <w:right w:val="none" w:sz="0" w:space="0" w:color="auto"/>
          </w:divBdr>
        </w:div>
        <w:div w:id="1418941897">
          <w:marLeft w:val="0"/>
          <w:marRight w:val="0"/>
          <w:marTop w:val="0"/>
          <w:marBottom w:val="0"/>
          <w:divBdr>
            <w:top w:val="none" w:sz="0" w:space="0" w:color="auto"/>
            <w:left w:val="none" w:sz="0" w:space="0" w:color="auto"/>
            <w:bottom w:val="none" w:sz="0" w:space="0" w:color="auto"/>
            <w:right w:val="none" w:sz="0" w:space="0" w:color="auto"/>
          </w:divBdr>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71569778">
      <w:bodyDiv w:val="1"/>
      <w:marLeft w:val="0"/>
      <w:marRight w:val="0"/>
      <w:marTop w:val="0"/>
      <w:marBottom w:val="0"/>
      <w:divBdr>
        <w:top w:val="none" w:sz="0" w:space="0" w:color="auto"/>
        <w:left w:val="none" w:sz="0" w:space="0" w:color="auto"/>
        <w:bottom w:val="none" w:sz="0" w:space="0" w:color="auto"/>
        <w:right w:val="none" w:sz="0" w:space="0" w:color="auto"/>
      </w:divBdr>
    </w:div>
    <w:div w:id="1375959645">
      <w:bodyDiv w:val="1"/>
      <w:marLeft w:val="0"/>
      <w:marRight w:val="0"/>
      <w:marTop w:val="0"/>
      <w:marBottom w:val="0"/>
      <w:divBdr>
        <w:top w:val="none" w:sz="0" w:space="0" w:color="auto"/>
        <w:left w:val="none" w:sz="0" w:space="0" w:color="auto"/>
        <w:bottom w:val="none" w:sz="0" w:space="0" w:color="auto"/>
        <w:right w:val="none" w:sz="0" w:space="0" w:color="auto"/>
      </w:divBdr>
    </w:div>
    <w:div w:id="1411855910">
      <w:bodyDiv w:val="1"/>
      <w:marLeft w:val="0"/>
      <w:marRight w:val="0"/>
      <w:marTop w:val="0"/>
      <w:marBottom w:val="0"/>
      <w:divBdr>
        <w:top w:val="none" w:sz="0" w:space="0" w:color="auto"/>
        <w:left w:val="none" w:sz="0" w:space="0" w:color="auto"/>
        <w:bottom w:val="none" w:sz="0" w:space="0" w:color="auto"/>
        <w:right w:val="none" w:sz="0" w:space="0" w:color="auto"/>
      </w:divBdr>
    </w:div>
    <w:div w:id="1415083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35926174">
      <w:bodyDiv w:val="1"/>
      <w:marLeft w:val="0"/>
      <w:marRight w:val="0"/>
      <w:marTop w:val="0"/>
      <w:marBottom w:val="0"/>
      <w:divBdr>
        <w:top w:val="none" w:sz="0" w:space="0" w:color="auto"/>
        <w:left w:val="none" w:sz="0" w:space="0" w:color="auto"/>
        <w:bottom w:val="none" w:sz="0" w:space="0" w:color="auto"/>
        <w:right w:val="none" w:sz="0" w:space="0" w:color="auto"/>
      </w:divBdr>
    </w:div>
    <w:div w:id="1591618516">
      <w:bodyDiv w:val="1"/>
      <w:marLeft w:val="0"/>
      <w:marRight w:val="0"/>
      <w:marTop w:val="0"/>
      <w:marBottom w:val="0"/>
      <w:divBdr>
        <w:top w:val="none" w:sz="0" w:space="0" w:color="auto"/>
        <w:left w:val="none" w:sz="0" w:space="0" w:color="auto"/>
        <w:bottom w:val="none" w:sz="0" w:space="0" w:color="auto"/>
        <w:right w:val="none" w:sz="0" w:space="0" w:color="auto"/>
      </w:divBdr>
    </w:div>
    <w:div w:id="1756316533">
      <w:bodyDiv w:val="1"/>
      <w:marLeft w:val="0"/>
      <w:marRight w:val="0"/>
      <w:marTop w:val="0"/>
      <w:marBottom w:val="0"/>
      <w:divBdr>
        <w:top w:val="none" w:sz="0" w:space="0" w:color="auto"/>
        <w:left w:val="none" w:sz="0" w:space="0" w:color="auto"/>
        <w:bottom w:val="none" w:sz="0" w:space="0" w:color="auto"/>
        <w:right w:val="none" w:sz="0" w:space="0" w:color="auto"/>
      </w:divBdr>
    </w:div>
    <w:div w:id="1999963011">
      <w:bodyDiv w:val="1"/>
      <w:marLeft w:val="0"/>
      <w:marRight w:val="0"/>
      <w:marTop w:val="0"/>
      <w:marBottom w:val="0"/>
      <w:divBdr>
        <w:top w:val="none" w:sz="0" w:space="0" w:color="auto"/>
        <w:left w:val="none" w:sz="0" w:space="0" w:color="auto"/>
        <w:bottom w:val="none" w:sz="0" w:space="0" w:color="auto"/>
        <w:right w:val="none" w:sz="0" w:space="0" w:color="auto"/>
      </w:divBdr>
    </w:div>
    <w:div w:id="2091346518">
      <w:bodyDiv w:val="1"/>
      <w:marLeft w:val="0"/>
      <w:marRight w:val="0"/>
      <w:marTop w:val="0"/>
      <w:marBottom w:val="0"/>
      <w:divBdr>
        <w:top w:val="none" w:sz="0" w:space="0" w:color="auto"/>
        <w:left w:val="none" w:sz="0" w:space="0" w:color="auto"/>
        <w:bottom w:val="none" w:sz="0" w:space="0" w:color="auto"/>
        <w:right w:val="none" w:sz="0" w:space="0" w:color="auto"/>
      </w:divBdr>
    </w:div>
    <w:div w:id="2095203759">
      <w:bodyDiv w:val="1"/>
      <w:marLeft w:val="0"/>
      <w:marRight w:val="0"/>
      <w:marTop w:val="0"/>
      <w:marBottom w:val="0"/>
      <w:divBdr>
        <w:top w:val="none" w:sz="0" w:space="0" w:color="auto"/>
        <w:left w:val="none" w:sz="0" w:space="0" w:color="auto"/>
        <w:bottom w:val="none" w:sz="0" w:space="0" w:color="auto"/>
        <w:right w:val="none" w:sz="0" w:space="0" w:color="auto"/>
      </w:divBdr>
    </w:div>
    <w:div w:id="2121685388">
      <w:bodyDiv w:val="1"/>
      <w:marLeft w:val="0"/>
      <w:marRight w:val="0"/>
      <w:marTop w:val="0"/>
      <w:marBottom w:val="0"/>
      <w:divBdr>
        <w:top w:val="none" w:sz="0" w:space="0" w:color="auto"/>
        <w:left w:val="none" w:sz="0" w:space="0" w:color="auto"/>
        <w:bottom w:val="none" w:sz="0" w:space="0" w:color="auto"/>
        <w:right w:val="none" w:sz="0" w:space="0" w:color="auto"/>
      </w:divBdr>
    </w:div>
    <w:div w:id="2131580858">
      <w:bodyDiv w:val="1"/>
      <w:marLeft w:val="0"/>
      <w:marRight w:val="0"/>
      <w:marTop w:val="0"/>
      <w:marBottom w:val="0"/>
      <w:divBdr>
        <w:top w:val="none" w:sz="0" w:space="0" w:color="auto"/>
        <w:left w:val="none" w:sz="0" w:space="0" w:color="auto"/>
        <w:bottom w:val="none" w:sz="0" w:space="0" w:color="auto"/>
        <w:right w:val="none" w:sz="0" w:space="0" w:color="auto"/>
      </w:divBdr>
    </w:div>
    <w:div w:id="213505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00C77-092D-4319-908C-376EFB245B55}">
  <ds:schemaRefs>
    <ds:schemaRef ds:uri="http://schemas.openxmlformats.org/officeDocument/2006/bibliography"/>
  </ds:schemaRefs>
</ds:datastoreItem>
</file>

<file path=customXml/itemProps2.xml><?xml version="1.0" encoding="utf-8"?>
<ds:datastoreItem xmlns:ds="http://schemas.openxmlformats.org/officeDocument/2006/customXml" ds:itemID="{FE297E67-4AE3-480D-8D3A-EA0DB53139BF}">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0DFA53A5-9E4D-4057-9E25-549D45B71FC3}">
  <ds:schemaRefs>
    <ds:schemaRef ds:uri="http://schemas.microsoft.com/sharepoint/v3/contenttype/forms"/>
  </ds:schemaRefs>
</ds:datastoreItem>
</file>

<file path=customXml/itemProps4.xml><?xml version="1.0" encoding="utf-8"?>
<ds:datastoreItem xmlns:ds="http://schemas.openxmlformats.org/officeDocument/2006/customXml" ds:itemID="{C50C7C3E-A5DA-4EDA-8EBA-16EFEC2C4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3361</Words>
  <Characters>19160</Characters>
  <Application>Microsoft Office Word</Application>
  <DocSecurity>0</DocSecurity>
  <Lines>159</Lines>
  <Paragraphs>44</Paragraphs>
  <ScaleCrop>false</ScaleCrop>
  <Company>Oxford City Council</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awinship</dc:creator>
  <cp:keywords/>
  <cp:lastModifiedBy>MALTON Jonathan</cp:lastModifiedBy>
  <cp:revision>9</cp:revision>
  <cp:lastPrinted>2017-08-07T08:36:00Z</cp:lastPrinted>
  <dcterms:created xsi:type="dcterms:W3CDTF">2025-08-21T15:52:00Z</dcterms:created>
  <dcterms:modified xsi:type="dcterms:W3CDTF">2025-08-22T18:06:00Z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